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72A4B" w:rsidRPr="00D72A4B" w:rsidRDefault="00D72A4B" w:rsidP="00D72A4B">
      <w:pPr>
        <w:pStyle w:val="Heading1"/>
        <w:rPr>
          <w:rFonts w:eastAsiaTheme="majorEastAsia"/>
        </w:rPr>
      </w:pPr>
      <w:r w:rsidRPr="00D72A4B">
        <w:rPr>
          <w:rFonts w:eastAsiaTheme="majorEastAsia"/>
        </w:rPr>
        <w:t>Routes</w:t>
      </w:r>
      <w:r w:rsidR="00496EB5">
        <w:rPr>
          <w:rFonts w:eastAsiaTheme="majorEastAsia"/>
        </w:rPr>
        <w:t xml:space="preserve"> and</w:t>
      </w:r>
      <w:r w:rsidRPr="00D72A4B">
        <w:rPr>
          <w:rFonts w:eastAsiaTheme="majorEastAsia"/>
        </w:rPr>
        <w:t xml:space="preserve"> Lines</w:t>
      </w:r>
    </w:p>
    <w:p w:rsidR="00D72A4B" w:rsidRPr="00D72A4B" w:rsidRDefault="00D72A4B" w:rsidP="00D72A4B"/>
    <w:p w:rsidR="00D72A4B" w:rsidRPr="00D72A4B" w:rsidRDefault="00D72A4B" w:rsidP="005F2749">
      <w:pPr>
        <w:spacing w:after="200"/>
      </w:pPr>
      <w:r w:rsidRPr="00D72A4B">
        <w:t xml:space="preserve">A route of administration refers to the route by which </w:t>
      </w:r>
      <w:r>
        <w:t>a</w:t>
      </w:r>
      <w:r w:rsidRPr="00D72A4B">
        <w:t xml:space="preserve"> drug </w:t>
      </w:r>
      <w:r>
        <w:t xml:space="preserve">or other substance </w:t>
      </w:r>
      <w:r w:rsidRPr="00D72A4B">
        <w:t xml:space="preserve">enters the body. </w:t>
      </w:r>
      <w:r>
        <w:t xml:space="preserve"> </w:t>
      </w:r>
      <w:r w:rsidRPr="00D72A4B">
        <w:t>It doesn’t define any physical device that may be used although the general type of device can often be inferred from the route e.g. subarachnoid implies the use of a spinal needle of some type and possibl</w:t>
      </w:r>
      <w:r>
        <w:t>y</w:t>
      </w:r>
      <w:r w:rsidRPr="00D72A4B">
        <w:t xml:space="preserve"> a catheter.</w:t>
      </w:r>
    </w:p>
    <w:p w:rsidR="00D72A4B" w:rsidRPr="00D72A4B" w:rsidRDefault="00D72A4B" w:rsidP="005F2749">
      <w:pPr>
        <w:spacing w:after="200"/>
      </w:pPr>
      <w:r w:rsidRPr="00D72A4B">
        <w:t xml:space="preserve">Some routes have implicit anatomical references </w:t>
      </w:r>
      <w:r w:rsidRPr="00D72A4B">
        <w:rPr>
          <w:i/>
        </w:rPr>
        <w:t>e.g.</w:t>
      </w:r>
      <w:r w:rsidRPr="00D72A4B">
        <w:t xml:space="preserve"> nasal, rectal so there’s no need to supply these separately. However, a majority of descriptions of routes  don’t include any information about the specific anatomical site of administration </w:t>
      </w:r>
      <w:r w:rsidRPr="00D72A4B">
        <w:rPr>
          <w:i/>
        </w:rPr>
        <w:t>e.g.</w:t>
      </w:r>
      <w:r w:rsidRPr="00D72A4B">
        <w:t xml:space="preserve"> ‘Intravenous’ just says ‘the drug goes into a vein’ not </w:t>
      </w:r>
      <w:r w:rsidRPr="00D72A4B">
        <w:rPr>
          <w:u w:val="single"/>
        </w:rPr>
        <w:t>which</w:t>
      </w:r>
      <w:r w:rsidRPr="00D72A4B">
        <w:t xml:space="preserve"> vein. </w:t>
      </w:r>
    </w:p>
    <w:p w:rsidR="00D72A4B" w:rsidRPr="00D72A4B" w:rsidRDefault="00D72A4B" w:rsidP="005F2749">
      <w:pPr>
        <w:spacing w:after="200"/>
      </w:pPr>
      <w:r w:rsidRPr="00D72A4B">
        <w:t xml:space="preserve">A </w:t>
      </w:r>
      <w:r w:rsidRPr="00D72A4B">
        <w:rPr>
          <w:b/>
        </w:rPr>
        <w:t>line</w:t>
      </w:r>
      <w:r w:rsidRPr="00D72A4B">
        <w:t xml:space="preserve"> is a real physical system by which a drug is administered. It follows that lines always have specific, identifiable anatomical sites </w:t>
      </w:r>
      <w:r w:rsidRPr="00D72A4B">
        <w:rPr>
          <w:i/>
        </w:rPr>
        <w:t xml:space="preserve">e.g. </w:t>
      </w:r>
      <w:r w:rsidRPr="00D72A4B">
        <w:t xml:space="preserve">[left] cephalic vein (one of the veins in the forearm), [right] Proximal tibia (leg bone used for intra-osseous drug administration). So if a </w:t>
      </w:r>
      <w:r w:rsidRPr="00D72A4B">
        <w:rPr>
          <w:u w:val="single"/>
        </w:rPr>
        <w:t>line</w:t>
      </w:r>
      <w:r w:rsidRPr="00D72A4B">
        <w:t xml:space="preserve"> is placed e.g. an IV line or epidural then the specific anatomical details are known and</w:t>
      </w:r>
      <w:r>
        <w:t xml:space="preserve"> f</w:t>
      </w:r>
      <w:r w:rsidRPr="00D72A4B">
        <w:t>rom these the route can be inferred</w:t>
      </w:r>
      <w:r>
        <w:t xml:space="preserve">. However, </w:t>
      </w:r>
      <w:r w:rsidRPr="00D72A4B">
        <w:t>if we start with a r</w:t>
      </w:r>
      <w:r w:rsidRPr="00D72A4B">
        <w:rPr>
          <w:u w:val="single"/>
        </w:rPr>
        <w:t>oute</w:t>
      </w:r>
      <w:r w:rsidRPr="00D72A4B">
        <w:t xml:space="preserve"> the anatomical site has to be </w:t>
      </w:r>
      <w:r>
        <w:t>added,</w:t>
      </w:r>
      <w:r w:rsidRPr="00D72A4B">
        <w:t xml:space="preserve"> it cannot be inferred, except in a few cases where the route also defines the anatomy as mentioned above. </w:t>
      </w:r>
    </w:p>
    <w:p w:rsidR="00496EB5" w:rsidRDefault="0026614F" w:rsidP="004E5688">
      <w:pPr>
        <w:spacing w:after="200"/>
      </w:pPr>
      <w:r>
        <w:t xml:space="preserve">There are many classifications of routes that share important features but then differ in detail. </w:t>
      </w:r>
      <w:r w:rsidR="00C64686">
        <w:t xml:space="preserve">For example, if a drug is given sub-lingually (placed under the tongue and allowed to dissolve) then, technically, the route is transmucosal  because the drug is absorbed through the mucous membrane, it just happens that the site of that membrane is the mouth. So the ‘correct’ way to classify the route would be to say firstly that is is transmucosal and then to define the site as sub-lingual. However, some authors classify it as an oral route just because the drug is placed in the mouth. This is perhaps intuitive but it’s wrong because the oral route means that the drug is taken </w:t>
      </w:r>
      <w:r w:rsidR="00C64686" w:rsidRPr="00C64686">
        <w:rPr>
          <w:u w:val="single"/>
        </w:rPr>
        <w:t>via</w:t>
      </w:r>
      <w:r w:rsidR="00C64686">
        <w:t xml:space="preserve"> the mouth </w:t>
      </w:r>
      <w:r w:rsidR="00C64686" w:rsidRPr="00C64686">
        <w:rPr>
          <w:i/>
        </w:rPr>
        <w:t>i,e</w:t>
      </w:r>
      <w:r w:rsidR="00C64686">
        <w:t xml:space="preserve">, it’s placed in the mouth and then swallowed. </w:t>
      </w:r>
      <w:r>
        <w:t xml:space="preserve"> </w:t>
      </w:r>
      <w:r w:rsidR="00C64686">
        <w:t xml:space="preserve">The classification of drug routes given in Wikipedia is different to that used by the FDA and both differ from SNOMED CT and MESH.  </w:t>
      </w:r>
    </w:p>
    <w:p w:rsidR="00496EB5" w:rsidRDefault="00496EB5" w:rsidP="00496EB5">
      <w:r>
        <w:t>Two scenarios for drug administration are envisaged:</w:t>
      </w:r>
    </w:p>
    <w:p w:rsidR="00496EB5" w:rsidRDefault="00496EB5" w:rsidP="00496EB5"/>
    <w:p w:rsidR="00496EB5" w:rsidRDefault="00496EB5" w:rsidP="0005189E">
      <w:pPr>
        <w:pStyle w:val="ListParagraph"/>
        <w:numPr>
          <w:ilvl w:val="0"/>
          <w:numId w:val="14"/>
        </w:numPr>
      </w:pPr>
      <w:r>
        <w:t>A drug is given via a line of some kind</w:t>
      </w:r>
      <w:r w:rsidR="00512B22">
        <w:t xml:space="preserve"> (all lines are by definition </w:t>
      </w:r>
      <w:r w:rsidR="006620D1">
        <w:t xml:space="preserve">a  </w:t>
      </w:r>
      <w:r w:rsidR="00512B22" w:rsidRPr="006620D1">
        <w:rPr>
          <w:u w:val="single"/>
        </w:rPr>
        <w:t>Parenteral</w:t>
      </w:r>
      <w:r w:rsidR="006620D1" w:rsidRPr="006620D1">
        <w:t xml:space="preserve"> route</w:t>
      </w:r>
      <w:r w:rsidR="006620D1">
        <w:t>)</w:t>
      </w:r>
      <w:r w:rsidR="00512B22">
        <w:t xml:space="preserve"> </w:t>
      </w:r>
    </w:p>
    <w:p w:rsidR="00496EB5" w:rsidRDefault="00496EB5" w:rsidP="0005189E">
      <w:pPr>
        <w:pStyle w:val="ListParagraph"/>
        <w:numPr>
          <w:ilvl w:val="0"/>
          <w:numId w:val="14"/>
        </w:numPr>
      </w:pPr>
      <w:r>
        <w:t>A drug is given by some other means e.g. tablet, injection, suppository, patch etc.</w:t>
      </w:r>
    </w:p>
    <w:p w:rsidR="00496EB5" w:rsidRDefault="00496EB5" w:rsidP="00496EB5"/>
    <w:p w:rsidR="00496EB5" w:rsidRDefault="00496EB5" w:rsidP="00496EB5">
      <w:r>
        <w:t>Intra-operatively most drugs will be given through a line or by injection</w:t>
      </w:r>
    </w:p>
    <w:p w:rsidR="0082515D" w:rsidRDefault="0082515D" w:rsidP="00496EB5"/>
    <w:p w:rsidR="0082515D" w:rsidRDefault="0082515D" w:rsidP="00496EB5">
      <w:r>
        <w:t xml:space="preserve">Thus </w:t>
      </w:r>
      <w:r w:rsidR="004E5688">
        <w:t xml:space="preserve">there should be options </w:t>
      </w:r>
      <w:r>
        <w:t>for:</w:t>
      </w:r>
    </w:p>
    <w:p w:rsidR="0082515D" w:rsidRDefault="0082515D" w:rsidP="00496EB5"/>
    <w:p w:rsidR="0082515D" w:rsidRDefault="0082515D" w:rsidP="0005189E">
      <w:pPr>
        <w:pStyle w:val="ListParagraph"/>
        <w:numPr>
          <w:ilvl w:val="0"/>
          <w:numId w:val="16"/>
        </w:numPr>
      </w:pPr>
      <w:r>
        <w:t>Route</w:t>
      </w:r>
    </w:p>
    <w:p w:rsidR="0082515D" w:rsidRDefault="0082515D" w:rsidP="0005189E">
      <w:pPr>
        <w:pStyle w:val="ListParagraph"/>
        <w:numPr>
          <w:ilvl w:val="0"/>
          <w:numId w:val="16"/>
        </w:numPr>
      </w:pPr>
      <w:r>
        <w:t>Associate</w:t>
      </w:r>
      <w:r w:rsidR="004E5688">
        <w:t>d</w:t>
      </w:r>
      <w:r>
        <w:t xml:space="preserve"> line</w:t>
      </w:r>
    </w:p>
    <w:p w:rsidR="0082515D" w:rsidRDefault="0082515D" w:rsidP="00496EB5"/>
    <w:p w:rsidR="00496EB5" w:rsidRDefault="00496EB5" w:rsidP="00496EB5"/>
    <w:p w:rsidR="00496EB5" w:rsidRPr="0082515D" w:rsidRDefault="0082515D" w:rsidP="0082515D">
      <w:pPr>
        <w:rPr>
          <w:b/>
        </w:rPr>
      </w:pPr>
      <w:r w:rsidRPr="0082515D">
        <w:rPr>
          <w:b/>
        </w:rPr>
        <w:t xml:space="preserve">Case 1: </w:t>
      </w:r>
      <w:r w:rsidR="00496EB5" w:rsidRPr="0082515D">
        <w:rPr>
          <w:b/>
        </w:rPr>
        <w:t>A drug is given via a line of some kind</w:t>
      </w:r>
    </w:p>
    <w:p w:rsidR="00496EB5" w:rsidRDefault="00496EB5" w:rsidP="00496EB5"/>
    <w:p w:rsidR="0082515D" w:rsidRDefault="00496EB5" w:rsidP="00496EB5">
      <w:r>
        <w:t>In the drug / fluids dialogues there should be a means to associate a drug or fluid with a line and in the case of multi-lumen lines, with the specific lumen of that line.</w:t>
      </w:r>
      <w:r w:rsidR="0082515D">
        <w:t xml:space="preserve"> This means that there is no need separately to record details of the route or anatomical site as these are already linked to the chosen line. </w:t>
      </w:r>
    </w:p>
    <w:p w:rsidR="00496EB5" w:rsidRDefault="00496EB5" w:rsidP="00496EB5">
      <w:r>
        <w:t xml:space="preserve"> </w:t>
      </w:r>
    </w:p>
    <w:p w:rsidR="0082515D" w:rsidRPr="0082515D" w:rsidRDefault="0082515D" w:rsidP="0082515D">
      <w:pPr>
        <w:rPr>
          <w:b/>
        </w:rPr>
      </w:pPr>
      <w:r w:rsidRPr="0082515D">
        <w:rPr>
          <w:b/>
        </w:rPr>
        <w:lastRenderedPageBreak/>
        <w:t>Case 2: A drug is given by some other means e.g. tablet, injection, suppository, patch etc.</w:t>
      </w:r>
    </w:p>
    <w:p w:rsidR="00496EB5" w:rsidRPr="00496EB5" w:rsidRDefault="00496EB5" w:rsidP="0082515D"/>
    <w:p w:rsidR="00496EB5" w:rsidRDefault="0082515D" w:rsidP="005F2749">
      <w:pPr>
        <w:spacing w:after="200"/>
      </w:pPr>
      <w:r>
        <w:t>There should be a means to record the route of administration that will include:</w:t>
      </w:r>
    </w:p>
    <w:p w:rsidR="0082515D" w:rsidRDefault="0082515D" w:rsidP="0005189E">
      <w:pPr>
        <w:pStyle w:val="ListParagraph"/>
        <w:numPr>
          <w:ilvl w:val="0"/>
          <w:numId w:val="15"/>
        </w:numPr>
        <w:spacing w:after="200"/>
      </w:pPr>
      <w:r>
        <w:t xml:space="preserve">The type of route </w:t>
      </w:r>
      <w:r w:rsidRPr="0082515D">
        <w:rPr>
          <w:i/>
        </w:rPr>
        <w:t xml:space="preserve">e.g. </w:t>
      </w:r>
      <w:r w:rsidRPr="0082515D">
        <w:t>I</w:t>
      </w:r>
      <w:r>
        <w:t>ntramuscular (I.M.) injection</w:t>
      </w:r>
    </w:p>
    <w:p w:rsidR="0082515D" w:rsidRDefault="0082515D" w:rsidP="0005189E">
      <w:pPr>
        <w:pStyle w:val="ListParagraph"/>
        <w:numPr>
          <w:ilvl w:val="0"/>
          <w:numId w:val="15"/>
        </w:numPr>
        <w:spacing w:after="200"/>
      </w:pPr>
      <w:r>
        <w:t xml:space="preserve">The anatomical site of administration where relevant </w:t>
      </w:r>
      <w:r w:rsidRPr="0082515D">
        <w:rPr>
          <w:i/>
        </w:rPr>
        <w:t>e.g.</w:t>
      </w:r>
      <w:r>
        <w:t>[left] deltoid</w:t>
      </w:r>
    </w:p>
    <w:p w:rsidR="0082515D" w:rsidRDefault="0082515D" w:rsidP="005F2749">
      <w:pPr>
        <w:spacing w:after="200"/>
      </w:pPr>
      <w:r>
        <w:t xml:space="preserve">Note that the general nature of the route, </w:t>
      </w:r>
      <w:r w:rsidR="004E5688">
        <w:t>could be</w:t>
      </w:r>
      <w:r>
        <w:t xml:space="preserve"> classified by</w:t>
      </w:r>
      <w:r w:rsidR="004E5688">
        <w:t xml:space="preserve"> an application.</w:t>
      </w:r>
      <w:r>
        <w:t xml:space="preserve"> </w:t>
      </w:r>
    </w:p>
    <w:p w:rsidR="00D030DE" w:rsidRDefault="00D030DE" w:rsidP="00F733D2">
      <w:pPr>
        <w:pStyle w:val="Heading1"/>
      </w:pPr>
      <w:r>
        <w:t>Lines</w:t>
      </w:r>
    </w:p>
    <w:p w:rsidR="005F2749" w:rsidRDefault="005F2749" w:rsidP="005F2749"/>
    <w:p w:rsidR="005F2749" w:rsidRDefault="004E5688" w:rsidP="005F2749">
      <w:r>
        <w:t>N</w:t>
      </w:r>
      <w:r w:rsidR="005F2749">
        <w:t>ot all types of line are used for drug administration. Some lines are</w:t>
      </w:r>
      <w:r>
        <w:t xml:space="preserve"> used to measure, for example, </w:t>
      </w:r>
      <w:r w:rsidR="005F2749">
        <w:t>blood pressure and to allow sample</w:t>
      </w:r>
      <w:r>
        <w:t>s</w:t>
      </w:r>
      <w:r w:rsidR="005F2749">
        <w:t xml:space="preserve"> to be taken (intra-arterial lines can be used to sample blood for blood gas analysis). Drugs are </w:t>
      </w:r>
      <w:r w:rsidR="00A4484B">
        <w:t>most often</w:t>
      </w:r>
      <w:r w:rsidR="005F2749">
        <w:t xml:space="preserve"> administered using Peripheral Venous Catheters (PVCs)</w:t>
      </w:r>
      <w:r w:rsidR="00A4484B">
        <w:t xml:space="preserve">, some drugs may be administered using a Central Venous Catheter (CVC) </w:t>
      </w:r>
      <w:r w:rsidR="005F2749">
        <w:t xml:space="preserve"> but </w:t>
      </w:r>
      <w:r w:rsidR="00A4484B">
        <w:t xml:space="preserve">drugs are </w:t>
      </w:r>
      <w:r w:rsidR="005F2749">
        <w:t xml:space="preserve">very rarely </w:t>
      </w:r>
      <w:r w:rsidR="00A4484B">
        <w:t xml:space="preserve">administered </w:t>
      </w:r>
      <w:r w:rsidR="005F2749">
        <w:t>using intra-arterial lines as there are significant risk factors when this is done.</w:t>
      </w:r>
    </w:p>
    <w:p w:rsidR="00496EB5" w:rsidRDefault="00496EB5" w:rsidP="005F2749"/>
    <w:p w:rsidR="00F733D2" w:rsidRDefault="00F733D2" w:rsidP="00F733D2">
      <w:pPr>
        <w:pStyle w:val="Heading2"/>
      </w:pPr>
      <w:r>
        <w:t>Multi-lumen lines</w:t>
      </w:r>
    </w:p>
    <w:p w:rsidR="00F733D2" w:rsidRDefault="00F733D2" w:rsidP="00F733D2"/>
    <w:p w:rsidR="002F4490" w:rsidRDefault="00F733D2" w:rsidP="00F733D2">
      <w:r>
        <w:t xml:space="preserve">Some lines have more than one lumen </w:t>
      </w:r>
      <w:r w:rsidRPr="00F733D2">
        <w:rPr>
          <w:i/>
        </w:rPr>
        <w:t>i.e.</w:t>
      </w:r>
      <w:r>
        <w:rPr>
          <w:i/>
        </w:rPr>
        <w:t xml:space="preserve"> </w:t>
      </w:r>
      <w:r>
        <w:t>the line comprises more than one tube so that each tube can be used independently. In this case the number of lumens needs to be known and when a drug administration or any other procedure is associated with the line, there should also be a means to identify the specific lumen.</w:t>
      </w:r>
      <w:r>
        <w:rPr>
          <w:i/>
        </w:rPr>
        <w:t xml:space="preserve"> </w:t>
      </w:r>
      <w:r w:rsidR="002F4490">
        <w:rPr>
          <w:i/>
        </w:rPr>
        <w:t xml:space="preserve"> </w:t>
      </w:r>
      <w:r w:rsidR="002F4490">
        <w:t xml:space="preserve">Multi-lumen lines are generally </w:t>
      </w:r>
      <w:r w:rsidR="002F4490" w:rsidRPr="002F4490">
        <w:rPr>
          <w:u w:val="single"/>
        </w:rPr>
        <w:t>central</w:t>
      </w:r>
      <w:r w:rsidR="002F4490" w:rsidRPr="002F4490">
        <w:t xml:space="preserve"> lines</w:t>
      </w:r>
      <w:r w:rsidR="002F4490">
        <w:t xml:space="preserve">. Each lumen has an associated </w:t>
      </w:r>
      <w:r w:rsidR="002F4490" w:rsidRPr="002F4490">
        <w:rPr>
          <w:u w:val="single"/>
        </w:rPr>
        <w:t>port</w:t>
      </w:r>
      <w:r w:rsidR="002F4490">
        <w:t xml:space="preserve"> at it’s ‘open’ end i.e. the end away from the patient.</w:t>
      </w:r>
    </w:p>
    <w:p w:rsidR="002F4490" w:rsidRDefault="002F4490" w:rsidP="00F733D2"/>
    <w:p w:rsidR="00F733D2" w:rsidRPr="002F4490" w:rsidRDefault="002F4490" w:rsidP="00F733D2">
      <w:r>
        <w:t xml:space="preserve">Peripheral lines are not usually multi-lumen. However, it is common to </w:t>
      </w:r>
      <w:r w:rsidR="004D053A">
        <w:t>have a connector that allows a drip to be attached and a separate injection port so bolus drugs can be given.</w:t>
      </w:r>
    </w:p>
    <w:p w:rsidR="00F733D2" w:rsidRPr="00F733D2" w:rsidRDefault="00F733D2" w:rsidP="00F733D2"/>
    <w:p w:rsidR="005F2749" w:rsidRDefault="00F733D2" w:rsidP="00F733D2">
      <w:pPr>
        <w:pStyle w:val="Heading2"/>
      </w:pPr>
      <w:r>
        <w:t xml:space="preserve">Lines </w:t>
      </w:r>
      <w:r w:rsidR="004E5688">
        <w:t>recording options</w:t>
      </w:r>
    </w:p>
    <w:p w:rsidR="00F733D2" w:rsidRDefault="00F733D2" w:rsidP="00F733D2"/>
    <w:p w:rsidR="00F733D2" w:rsidRDefault="004E5688" w:rsidP="00F733D2">
      <w:r w:rsidRPr="004E5688">
        <w:rPr>
          <w:b/>
        </w:rPr>
        <w:t>Type of line</w:t>
      </w:r>
      <w:r w:rsidR="00F733D2">
        <w:t>:</w:t>
      </w:r>
    </w:p>
    <w:p w:rsidR="00F733D2" w:rsidRDefault="00F733D2" w:rsidP="00F733D2"/>
    <w:p w:rsidR="00F733D2" w:rsidRDefault="00F733D2" w:rsidP="0005189E">
      <w:pPr>
        <w:pStyle w:val="ListParagraph"/>
        <w:numPr>
          <w:ilvl w:val="0"/>
          <w:numId w:val="7"/>
        </w:numPr>
      </w:pPr>
      <w:r>
        <w:t>Peripheral Venous Catheter (PVC)</w:t>
      </w:r>
      <w:r w:rsidR="00BD2C9D">
        <w:t xml:space="preserve"> or (PIVC)</w:t>
      </w:r>
    </w:p>
    <w:p w:rsidR="00F733D2" w:rsidRDefault="00F733D2" w:rsidP="0005189E">
      <w:pPr>
        <w:pStyle w:val="ListParagraph"/>
        <w:numPr>
          <w:ilvl w:val="0"/>
          <w:numId w:val="7"/>
        </w:numPr>
      </w:pPr>
      <w:r>
        <w:t>Central Venous Catheter (CVC)</w:t>
      </w:r>
    </w:p>
    <w:p w:rsidR="00F733D2" w:rsidRDefault="00F733D2" w:rsidP="0005189E">
      <w:pPr>
        <w:pStyle w:val="ListParagraph"/>
        <w:numPr>
          <w:ilvl w:val="0"/>
          <w:numId w:val="7"/>
        </w:numPr>
      </w:pPr>
      <w:r>
        <w:t>Peripherally Inserted Central Venous Catheter (PICC)</w:t>
      </w:r>
    </w:p>
    <w:p w:rsidR="00F733D2" w:rsidRDefault="00F733D2" w:rsidP="0005189E">
      <w:pPr>
        <w:pStyle w:val="ListParagraph"/>
        <w:numPr>
          <w:ilvl w:val="0"/>
          <w:numId w:val="7"/>
        </w:numPr>
      </w:pPr>
      <w:r>
        <w:t xml:space="preserve">Arterial </w:t>
      </w:r>
      <w:r w:rsidR="00533A03">
        <w:t>(A-line)</w:t>
      </w:r>
    </w:p>
    <w:p w:rsidR="00F733D2" w:rsidRDefault="00F733D2" w:rsidP="0005189E">
      <w:pPr>
        <w:pStyle w:val="ListParagraph"/>
        <w:numPr>
          <w:ilvl w:val="0"/>
          <w:numId w:val="7"/>
        </w:numPr>
      </w:pPr>
      <w:r>
        <w:t>Intra-Osseous</w:t>
      </w:r>
    </w:p>
    <w:p w:rsidR="00F733D2" w:rsidRDefault="00F733D2" w:rsidP="0005189E">
      <w:pPr>
        <w:pStyle w:val="ListParagraph"/>
        <w:numPr>
          <w:ilvl w:val="0"/>
          <w:numId w:val="7"/>
        </w:numPr>
      </w:pPr>
      <w:r>
        <w:t>Implanted Port</w:t>
      </w:r>
      <w:r w:rsidR="00533A03">
        <w:t>al Catheter</w:t>
      </w:r>
    </w:p>
    <w:p w:rsidR="00496EB5" w:rsidRDefault="00496EB5" w:rsidP="00496EB5"/>
    <w:p w:rsidR="00744526" w:rsidRDefault="00744526" w:rsidP="00744526">
      <w:pPr>
        <w:pStyle w:val="Heading2"/>
      </w:pPr>
      <w:r>
        <w:t>Generic recording requirements for all lines</w:t>
      </w:r>
    </w:p>
    <w:p w:rsidR="00744526" w:rsidRDefault="00744526" w:rsidP="00F733D2"/>
    <w:p w:rsidR="00533A03" w:rsidRDefault="00533A03" w:rsidP="0005189E">
      <w:pPr>
        <w:pStyle w:val="ListParagraph"/>
        <w:numPr>
          <w:ilvl w:val="0"/>
          <w:numId w:val="8"/>
        </w:numPr>
      </w:pPr>
      <w:r>
        <w:t>Skin Preparation</w:t>
      </w:r>
    </w:p>
    <w:p w:rsidR="00533A03" w:rsidRDefault="00533A03" w:rsidP="0005189E">
      <w:pPr>
        <w:pStyle w:val="ListParagraph"/>
        <w:numPr>
          <w:ilvl w:val="0"/>
          <w:numId w:val="8"/>
        </w:numPr>
      </w:pPr>
      <w:r>
        <w:t>Aseptic technique</w:t>
      </w:r>
    </w:p>
    <w:p w:rsidR="00533A03" w:rsidRDefault="00C80B13" w:rsidP="0005189E">
      <w:pPr>
        <w:pStyle w:val="ListParagraph"/>
        <w:numPr>
          <w:ilvl w:val="0"/>
          <w:numId w:val="8"/>
        </w:numPr>
      </w:pPr>
      <w:r>
        <w:t>Fixation (method by which the line is secured and sealed)</w:t>
      </w:r>
    </w:p>
    <w:p w:rsidR="00533A03" w:rsidRDefault="00533A03" w:rsidP="0005189E">
      <w:pPr>
        <w:pStyle w:val="ListParagraph"/>
        <w:numPr>
          <w:ilvl w:val="0"/>
          <w:numId w:val="9"/>
        </w:numPr>
      </w:pPr>
      <w:r>
        <w:t>Problems / issues</w:t>
      </w:r>
    </w:p>
    <w:p w:rsidR="00533A03" w:rsidRDefault="00533A03" w:rsidP="00533A03"/>
    <w:p w:rsidR="00533A03" w:rsidRDefault="00533A03" w:rsidP="00533A03">
      <w:r>
        <w:t>More information on specific recording requirements for each type of line are shown below:</w:t>
      </w:r>
    </w:p>
    <w:p w:rsidR="00533A03" w:rsidRDefault="00533A03" w:rsidP="00533A03"/>
    <w:p w:rsidR="00A4484B" w:rsidRDefault="00A4484B" w:rsidP="00A4484B">
      <w:pPr>
        <w:pStyle w:val="Heading2"/>
      </w:pPr>
      <w:r>
        <w:t>Central Venous Catheter</w:t>
      </w:r>
      <w:r w:rsidR="00744526">
        <w:t xml:space="preserve"> (CVC) and Peripherally Inserted Central Venous Catheter (PICC)</w:t>
      </w:r>
    </w:p>
    <w:p w:rsidR="000B7FD7" w:rsidRDefault="000B7FD7" w:rsidP="000B7FD7"/>
    <w:p w:rsidR="00744526" w:rsidRDefault="00744526" w:rsidP="00680D57"/>
    <w:p w:rsidR="00A4484B" w:rsidRDefault="00744526" w:rsidP="00A4484B">
      <w:pPr>
        <w:pStyle w:val="Heading3"/>
      </w:pPr>
      <w:r>
        <w:t xml:space="preserve">Common </w:t>
      </w:r>
      <w:r w:rsidR="00A4484B">
        <w:t>Insertion Site</w:t>
      </w:r>
      <w:r>
        <w:t>s for CVC</w:t>
      </w:r>
    </w:p>
    <w:p w:rsidR="00A4484B" w:rsidRDefault="00A4484B" w:rsidP="00680D57"/>
    <w:p w:rsidR="00A4484B" w:rsidRDefault="00A4484B" w:rsidP="0005189E">
      <w:pPr>
        <w:pStyle w:val="ListParagraph"/>
        <w:numPr>
          <w:ilvl w:val="0"/>
          <w:numId w:val="9"/>
        </w:numPr>
        <w:jc w:val="both"/>
      </w:pPr>
      <w:r>
        <w:t>Internal Jugular</w:t>
      </w:r>
    </w:p>
    <w:p w:rsidR="00A4484B" w:rsidRDefault="00A4484B" w:rsidP="0005189E">
      <w:pPr>
        <w:pStyle w:val="ListParagraph"/>
        <w:numPr>
          <w:ilvl w:val="0"/>
          <w:numId w:val="9"/>
        </w:numPr>
        <w:jc w:val="both"/>
      </w:pPr>
      <w:r>
        <w:t>Subclavian vein</w:t>
      </w:r>
    </w:p>
    <w:p w:rsidR="00A4484B" w:rsidRDefault="00A4484B" w:rsidP="0005189E">
      <w:pPr>
        <w:pStyle w:val="ListParagraph"/>
        <w:numPr>
          <w:ilvl w:val="0"/>
          <w:numId w:val="9"/>
        </w:numPr>
        <w:jc w:val="both"/>
      </w:pPr>
      <w:r>
        <w:t>Axillary vein</w:t>
      </w:r>
    </w:p>
    <w:p w:rsidR="00A4484B" w:rsidRDefault="00A4484B" w:rsidP="0005189E">
      <w:pPr>
        <w:pStyle w:val="ListParagraph"/>
        <w:numPr>
          <w:ilvl w:val="0"/>
          <w:numId w:val="9"/>
        </w:numPr>
        <w:jc w:val="both"/>
      </w:pPr>
      <w:r>
        <w:t>Femoral vein</w:t>
      </w:r>
    </w:p>
    <w:p w:rsidR="00A4484B" w:rsidRDefault="00A4484B" w:rsidP="0005189E">
      <w:pPr>
        <w:pStyle w:val="ListParagraph"/>
        <w:numPr>
          <w:ilvl w:val="0"/>
          <w:numId w:val="9"/>
        </w:numPr>
      </w:pPr>
      <w:r>
        <w:t>Other [specify]</w:t>
      </w:r>
    </w:p>
    <w:p w:rsidR="00744526" w:rsidRDefault="00744526" w:rsidP="00744526"/>
    <w:p w:rsidR="00744526" w:rsidRDefault="00744526" w:rsidP="00744526">
      <w:pPr>
        <w:pStyle w:val="Heading3"/>
      </w:pPr>
      <w:r>
        <w:t>Common Insertion Sites for PICC</w:t>
      </w:r>
    </w:p>
    <w:p w:rsidR="00744526" w:rsidRDefault="00744526" w:rsidP="00744526"/>
    <w:p w:rsidR="00744526" w:rsidRDefault="00744526" w:rsidP="00744526">
      <w:pPr>
        <w:pStyle w:val="ListParagraph"/>
        <w:numPr>
          <w:ilvl w:val="0"/>
          <w:numId w:val="19"/>
        </w:numPr>
        <w:ind w:left="709" w:hanging="283"/>
      </w:pPr>
      <w:r>
        <w:t>Cephalic vein</w:t>
      </w:r>
    </w:p>
    <w:p w:rsidR="00744526" w:rsidRDefault="00744526" w:rsidP="00744526">
      <w:pPr>
        <w:pStyle w:val="ListParagraph"/>
        <w:numPr>
          <w:ilvl w:val="0"/>
          <w:numId w:val="19"/>
        </w:numPr>
        <w:ind w:left="709" w:hanging="283"/>
      </w:pPr>
      <w:r>
        <w:t>Basilic vein</w:t>
      </w:r>
    </w:p>
    <w:p w:rsidR="00744526" w:rsidRDefault="00744526" w:rsidP="00744526">
      <w:pPr>
        <w:pStyle w:val="ListParagraph"/>
        <w:numPr>
          <w:ilvl w:val="0"/>
          <w:numId w:val="19"/>
        </w:numPr>
        <w:ind w:left="709" w:hanging="283"/>
      </w:pPr>
      <w:r>
        <w:t>Brachial vein</w:t>
      </w:r>
    </w:p>
    <w:p w:rsidR="00744526" w:rsidRPr="00744526" w:rsidRDefault="00744526" w:rsidP="00744526">
      <w:pPr>
        <w:pStyle w:val="ListParagraph"/>
        <w:numPr>
          <w:ilvl w:val="0"/>
          <w:numId w:val="19"/>
        </w:numPr>
        <w:ind w:left="709" w:hanging="283"/>
      </w:pPr>
      <w:r>
        <w:t>Other [specify]</w:t>
      </w:r>
    </w:p>
    <w:p w:rsidR="00744526" w:rsidRDefault="00744526" w:rsidP="00744526"/>
    <w:p w:rsidR="00A4484B" w:rsidRDefault="00A4484B" w:rsidP="00A4484B">
      <w:pPr>
        <w:pStyle w:val="Heading3"/>
      </w:pPr>
      <w:r>
        <w:t>Catheter Attributes</w:t>
      </w:r>
    </w:p>
    <w:p w:rsidR="00A4484B" w:rsidRDefault="00A4484B" w:rsidP="00680D57"/>
    <w:p w:rsidR="00A4484B" w:rsidRPr="00533A03" w:rsidRDefault="00A4484B" w:rsidP="0005189E">
      <w:pPr>
        <w:pStyle w:val="ListParagraph"/>
        <w:numPr>
          <w:ilvl w:val="0"/>
          <w:numId w:val="10"/>
        </w:numPr>
        <w:rPr>
          <w:rStyle w:val="mw-headline"/>
          <w:rFonts w:cs="Arial"/>
          <w:color w:val="000000"/>
        </w:rPr>
      </w:pPr>
      <w:r w:rsidRPr="00533A03">
        <w:rPr>
          <w:rStyle w:val="mw-headline"/>
          <w:rFonts w:cs="Arial"/>
          <w:color w:val="000000"/>
        </w:rPr>
        <w:t>Non-tunneled (e.g. Quinton)</w:t>
      </w:r>
    </w:p>
    <w:p w:rsidR="00A4484B" w:rsidRDefault="00A4484B" w:rsidP="0005189E">
      <w:pPr>
        <w:pStyle w:val="ListParagraph"/>
        <w:numPr>
          <w:ilvl w:val="0"/>
          <w:numId w:val="10"/>
        </w:numPr>
        <w:rPr>
          <w:rStyle w:val="mw-headline"/>
          <w:rFonts w:cs="Arial"/>
          <w:color w:val="000000"/>
        </w:rPr>
      </w:pPr>
      <w:r w:rsidRPr="00533A03">
        <w:rPr>
          <w:rStyle w:val="mw-headline"/>
          <w:rFonts w:cs="Arial"/>
          <w:color w:val="000000"/>
        </w:rPr>
        <w:t>Tunneled (e.g. Hickman, Groshong)</w:t>
      </w:r>
      <w:r w:rsidR="004E5688">
        <w:rPr>
          <w:rStyle w:val="mw-headline"/>
          <w:rFonts w:cs="Arial"/>
          <w:color w:val="000000"/>
        </w:rPr>
        <w:t xml:space="preserve"> – </w:t>
      </w:r>
      <w:r w:rsidR="004E5688" w:rsidRPr="004E5688">
        <w:rPr>
          <w:rStyle w:val="mw-headline"/>
          <w:rFonts w:cs="Arial"/>
          <w:color w:val="000000"/>
          <w:highlight w:val="yellow"/>
        </w:rPr>
        <w:t>strictly speaking the tunneling is a description of method not an attribute of the line</w:t>
      </w:r>
    </w:p>
    <w:p w:rsidR="008677B6" w:rsidRDefault="008677B6" w:rsidP="0005189E">
      <w:pPr>
        <w:pStyle w:val="ListParagraph"/>
        <w:numPr>
          <w:ilvl w:val="0"/>
          <w:numId w:val="10"/>
        </w:numPr>
        <w:rPr>
          <w:rStyle w:val="mw-headline"/>
          <w:rFonts w:cs="Arial"/>
          <w:color w:val="000000"/>
        </w:rPr>
      </w:pPr>
      <w:r>
        <w:rPr>
          <w:rStyle w:val="mw-headline"/>
          <w:rFonts w:cs="Arial"/>
          <w:color w:val="000000"/>
        </w:rPr>
        <w:t>Gauge (usually expressed as French gauge)</w:t>
      </w:r>
    </w:p>
    <w:p w:rsidR="008677B6" w:rsidRPr="00533A03" w:rsidRDefault="008677B6" w:rsidP="0005189E">
      <w:pPr>
        <w:pStyle w:val="ListParagraph"/>
        <w:numPr>
          <w:ilvl w:val="0"/>
          <w:numId w:val="10"/>
        </w:numPr>
        <w:rPr>
          <w:rStyle w:val="mw-headline"/>
          <w:rFonts w:cs="Arial"/>
          <w:color w:val="000000"/>
        </w:rPr>
      </w:pPr>
      <w:r>
        <w:rPr>
          <w:rStyle w:val="mw-headline"/>
          <w:rFonts w:cs="Arial"/>
          <w:color w:val="000000"/>
        </w:rPr>
        <w:t>Length (cm.)</w:t>
      </w:r>
    </w:p>
    <w:p w:rsidR="00A4484B" w:rsidRDefault="00A4484B" w:rsidP="0005189E">
      <w:pPr>
        <w:pStyle w:val="ListParagraph"/>
        <w:numPr>
          <w:ilvl w:val="0"/>
          <w:numId w:val="10"/>
        </w:numPr>
        <w:rPr>
          <w:rStyle w:val="mw-headline"/>
          <w:rFonts w:cs="Arial"/>
          <w:color w:val="000000"/>
        </w:rPr>
      </w:pPr>
      <w:r w:rsidRPr="00533A03">
        <w:rPr>
          <w:rStyle w:val="mw-headline"/>
          <w:rFonts w:cs="Arial"/>
          <w:color w:val="000000"/>
        </w:rPr>
        <w:t>Number of lumens (1 – 5)</w:t>
      </w:r>
    </w:p>
    <w:p w:rsidR="00EF74A8" w:rsidRDefault="00EF74A8" w:rsidP="0005189E">
      <w:pPr>
        <w:pStyle w:val="ListParagraph"/>
        <w:numPr>
          <w:ilvl w:val="0"/>
          <w:numId w:val="10"/>
        </w:numPr>
        <w:rPr>
          <w:rStyle w:val="mw-headline"/>
          <w:rFonts w:cs="Arial"/>
          <w:color w:val="000000"/>
        </w:rPr>
      </w:pPr>
      <w:r>
        <w:rPr>
          <w:rStyle w:val="mw-headline"/>
          <w:rFonts w:cs="Arial"/>
          <w:color w:val="000000"/>
        </w:rPr>
        <w:t>Cuffed</w:t>
      </w:r>
    </w:p>
    <w:p w:rsidR="00744526" w:rsidRPr="00744526" w:rsidRDefault="00744526" w:rsidP="00744526">
      <w:pPr>
        <w:ind w:left="360"/>
        <w:rPr>
          <w:rStyle w:val="mw-headline"/>
          <w:rFonts w:cs="Arial"/>
          <w:color w:val="000000"/>
        </w:rPr>
      </w:pPr>
    </w:p>
    <w:p w:rsidR="00744526" w:rsidRDefault="00744526" w:rsidP="00744526">
      <w:pPr>
        <w:pStyle w:val="Heading3"/>
      </w:pPr>
      <w:r>
        <w:t>Adjunctive technique</w:t>
      </w:r>
    </w:p>
    <w:p w:rsidR="00744526" w:rsidRDefault="00744526" w:rsidP="00744526"/>
    <w:p w:rsidR="00744526" w:rsidRDefault="00744526" w:rsidP="00744526">
      <w:pPr>
        <w:pStyle w:val="ListParagraph"/>
        <w:numPr>
          <w:ilvl w:val="0"/>
          <w:numId w:val="13"/>
        </w:numPr>
      </w:pPr>
      <w:r>
        <w:t>Ultrasound</w:t>
      </w:r>
    </w:p>
    <w:p w:rsidR="00744526" w:rsidRDefault="00744526" w:rsidP="00744526">
      <w:pPr>
        <w:pStyle w:val="ListParagraph"/>
        <w:numPr>
          <w:ilvl w:val="0"/>
          <w:numId w:val="13"/>
        </w:numPr>
      </w:pPr>
      <w:r>
        <w:t>Chest X-ray (CXR)</w:t>
      </w:r>
    </w:p>
    <w:p w:rsidR="00744526" w:rsidRDefault="00744526" w:rsidP="00744526">
      <w:pPr>
        <w:pStyle w:val="ListParagraph"/>
        <w:numPr>
          <w:ilvl w:val="0"/>
          <w:numId w:val="13"/>
        </w:numPr>
      </w:pPr>
      <w:r>
        <w:t>Flouroscopy</w:t>
      </w:r>
    </w:p>
    <w:p w:rsidR="00744526" w:rsidRDefault="00744526" w:rsidP="00744526">
      <w:pPr>
        <w:pStyle w:val="ListParagraph"/>
        <w:numPr>
          <w:ilvl w:val="0"/>
          <w:numId w:val="13"/>
        </w:numPr>
      </w:pPr>
      <w:r>
        <w:t>Other [specify]</w:t>
      </w:r>
    </w:p>
    <w:p w:rsidR="004E5688" w:rsidRDefault="004E5688" w:rsidP="004E5688">
      <w:pPr>
        <w:ind w:left="360"/>
      </w:pPr>
    </w:p>
    <w:p w:rsidR="00744526" w:rsidRDefault="00744526" w:rsidP="00744526">
      <w:pPr>
        <w:pStyle w:val="Heading3"/>
        <w:rPr>
          <w:rStyle w:val="mw-headline"/>
          <w:rFonts w:cs="Arial"/>
          <w:color w:val="000000"/>
        </w:rPr>
      </w:pPr>
      <w:r>
        <w:rPr>
          <w:rStyle w:val="mw-headline"/>
          <w:rFonts w:cs="Arial"/>
          <w:color w:val="000000"/>
        </w:rPr>
        <w:t>Problems / issues</w:t>
      </w:r>
    </w:p>
    <w:p w:rsidR="00744526" w:rsidRDefault="00744526" w:rsidP="00744526"/>
    <w:p w:rsidR="00744526" w:rsidRDefault="00744526" w:rsidP="00744526">
      <w:pPr>
        <w:pStyle w:val="ListParagraph"/>
        <w:numPr>
          <w:ilvl w:val="0"/>
          <w:numId w:val="20"/>
        </w:numPr>
      </w:pPr>
      <w:r>
        <w:t>Inadvertent arterial puncture</w:t>
      </w:r>
    </w:p>
    <w:p w:rsidR="00744526" w:rsidRDefault="00744526" w:rsidP="00744526">
      <w:pPr>
        <w:pStyle w:val="ListParagraph"/>
        <w:numPr>
          <w:ilvl w:val="0"/>
          <w:numId w:val="20"/>
        </w:numPr>
      </w:pPr>
      <w:r>
        <w:t>Venous tear</w:t>
      </w:r>
    </w:p>
    <w:p w:rsidR="00744526" w:rsidRDefault="00744526" w:rsidP="00744526">
      <w:pPr>
        <w:pStyle w:val="ListParagraph"/>
        <w:numPr>
          <w:ilvl w:val="0"/>
          <w:numId w:val="20"/>
        </w:numPr>
      </w:pPr>
      <w:r>
        <w:t>Haemothorax</w:t>
      </w:r>
    </w:p>
    <w:p w:rsidR="00744526" w:rsidRDefault="00744526" w:rsidP="00744526">
      <w:pPr>
        <w:pStyle w:val="ListParagraph"/>
        <w:numPr>
          <w:ilvl w:val="0"/>
          <w:numId w:val="20"/>
        </w:numPr>
      </w:pPr>
      <w:r>
        <w:t>Pneumothorax</w:t>
      </w:r>
    </w:p>
    <w:p w:rsidR="00744526" w:rsidRPr="00744526" w:rsidRDefault="00744526" w:rsidP="00744526">
      <w:pPr>
        <w:pStyle w:val="ListParagraph"/>
        <w:numPr>
          <w:ilvl w:val="0"/>
          <w:numId w:val="20"/>
        </w:numPr>
      </w:pPr>
      <w:r>
        <w:t>Other [specify]</w:t>
      </w:r>
    </w:p>
    <w:p w:rsidR="00C80B13" w:rsidRPr="00C80B13" w:rsidRDefault="00C80B13" w:rsidP="00C80B13">
      <w:pPr>
        <w:rPr>
          <w:rStyle w:val="mw-headline"/>
          <w:rFonts w:cs="Arial"/>
          <w:color w:val="000000"/>
        </w:rPr>
      </w:pPr>
    </w:p>
    <w:p w:rsidR="00A4484B" w:rsidRDefault="00EF74A8" w:rsidP="00A4484B">
      <w:pPr>
        <w:rPr>
          <w:rStyle w:val="mw-headline"/>
          <w:rFonts w:cs="Arial"/>
          <w:color w:val="000000"/>
        </w:rPr>
      </w:pPr>
      <w:r>
        <w:rPr>
          <w:rStyle w:val="mw-headline"/>
          <w:rFonts w:cs="Arial"/>
          <w:color w:val="000000"/>
        </w:rPr>
        <w:t>Note: tunnelled catheters are actually two separate components. One is the actual venous catheter and is introduced in the normal way. The placement of the tunnelled portion is done as follows:</w:t>
      </w:r>
    </w:p>
    <w:p w:rsidR="00EF74A8" w:rsidRDefault="00EF74A8" w:rsidP="00A4484B">
      <w:pPr>
        <w:rPr>
          <w:rStyle w:val="mw-headline"/>
          <w:rFonts w:cs="Arial"/>
          <w:color w:val="000000"/>
        </w:rPr>
      </w:pPr>
    </w:p>
    <w:p w:rsidR="00EF74A8" w:rsidRPr="00EF74A8" w:rsidRDefault="00EF74A8" w:rsidP="00EF74A8">
      <w:pPr>
        <w:pStyle w:val="ListParagraph"/>
        <w:numPr>
          <w:ilvl w:val="0"/>
          <w:numId w:val="17"/>
        </w:numPr>
        <w:spacing w:after="120"/>
        <w:ind w:left="714" w:hanging="357"/>
        <w:contextualSpacing w:val="0"/>
        <w:rPr>
          <w:rStyle w:val="mw-headline"/>
          <w:rFonts w:cs="Arial"/>
          <w:color w:val="000000"/>
        </w:rPr>
      </w:pPr>
      <w:r w:rsidRPr="00EF74A8">
        <w:rPr>
          <w:rStyle w:val="mw-headline"/>
          <w:rFonts w:cs="Arial"/>
          <w:color w:val="000000"/>
        </w:rPr>
        <w:lastRenderedPageBreak/>
        <w:t>An exit site is identified about 10 cm. from the insertion point of the venous catheter and a hole is made with a scalpel</w:t>
      </w:r>
    </w:p>
    <w:p w:rsidR="00EF74A8" w:rsidRPr="00EF74A8" w:rsidRDefault="00EF74A8" w:rsidP="00EF74A8">
      <w:pPr>
        <w:pStyle w:val="ListParagraph"/>
        <w:numPr>
          <w:ilvl w:val="0"/>
          <w:numId w:val="17"/>
        </w:numPr>
        <w:spacing w:after="120"/>
        <w:ind w:left="714" w:hanging="357"/>
        <w:contextualSpacing w:val="0"/>
        <w:rPr>
          <w:rStyle w:val="mw-headline"/>
          <w:rFonts w:cs="Arial"/>
          <w:color w:val="000000"/>
        </w:rPr>
      </w:pPr>
      <w:r w:rsidRPr="00EF74A8">
        <w:rPr>
          <w:rStyle w:val="mw-headline"/>
          <w:rFonts w:cs="Arial"/>
          <w:color w:val="000000"/>
        </w:rPr>
        <w:t>A tool (</w:t>
      </w:r>
      <w:r w:rsidRPr="00EF74A8">
        <w:rPr>
          <w:rStyle w:val="mw-headline"/>
          <w:rFonts w:cs="Arial"/>
          <w:i/>
          <w:color w:val="000000"/>
        </w:rPr>
        <w:t>e.g.</w:t>
      </w:r>
      <w:r w:rsidRPr="00EF74A8">
        <w:rPr>
          <w:rStyle w:val="mw-headline"/>
          <w:rFonts w:cs="Arial"/>
          <w:color w:val="000000"/>
        </w:rPr>
        <w:t xml:space="preserve"> pituitary clamp) is pushed under the skin from the insertion point to the exit site and out </w:t>
      </w:r>
    </w:p>
    <w:p w:rsidR="00EF74A8" w:rsidRPr="00EF74A8" w:rsidRDefault="00EF74A8" w:rsidP="00EF74A8">
      <w:pPr>
        <w:pStyle w:val="ListParagraph"/>
        <w:numPr>
          <w:ilvl w:val="0"/>
          <w:numId w:val="17"/>
        </w:numPr>
        <w:spacing w:after="120"/>
        <w:ind w:left="714" w:hanging="357"/>
        <w:contextualSpacing w:val="0"/>
        <w:rPr>
          <w:rStyle w:val="mw-headline"/>
          <w:rFonts w:cs="Arial"/>
          <w:color w:val="000000"/>
        </w:rPr>
      </w:pPr>
      <w:r>
        <w:rPr>
          <w:rStyle w:val="mw-headline"/>
          <w:rFonts w:cs="Arial"/>
          <w:color w:val="000000"/>
        </w:rPr>
        <w:t>The tunneled</w:t>
      </w:r>
      <w:r w:rsidRPr="00EF74A8">
        <w:rPr>
          <w:rStyle w:val="mw-headline"/>
          <w:rFonts w:cs="Arial"/>
          <w:color w:val="000000"/>
        </w:rPr>
        <w:t xml:space="preserve"> catheter is gripped by the tool and pulled back to emerge from the insertion site.  At this point the catheter is open at both ends to the exterior environment but passes through a tunnel between the insertion point of the venous catheter and the exit point.</w:t>
      </w:r>
    </w:p>
    <w:p w:rsidR="00EF74A8" w:rsidRDefault="00EF74A8" w:rsidP="00EF74A8">
      <w:pPr>
        <w:pStyle w:val="ListParagraph"/>
        <w:numPr>
          <w:ilvl w:val="0"/>
          <w:numId w:val="17"/>
        </w:numPr>
        <w:spacing w:after="120"/>
        <w:ind w:left="714" w:hanging="357"/>
        <w:contextualSpacing w:val="0"/>
        <w:rPr>
          <w:rStyle w:val="mw-headline"/>
          <w:rFonts w:cs="Arial"/>
          <w:color w:val="000000"/>
        </w:rPr>
      </w:pPr>
      <w:r w:rsidRPr="00EF74A8">
        <w:rPr>
          <w:rStyle w:val="mw-headline"/>
          <w:rFonts w:cs="Arial"/>
          <w:color w:val="000000"/>
        </w:rPr>
        <w:t>The end of the tunnelled catheter that is adjacent to the venous catheter is connected to the outside end of the venous catheter. This means that there is now a continuous line from the far end of the tunnelled catheter, through the tunnel, onto the venous catheter and finally into the central vein</w:t>
      </w:r>
    </w:p>
    <w:p w:rsidR="004E5688" w:rsidRPr="004E5688" w:rsidRDefault="004E5688" w:rsidP="004E5688">
      <w:pPr>
        <w:spacing w:after="120"/>
        <w:ind w:left="357"/>
        <w:rPr>
          <w:rStyle w:val="mw-headline"/>
          <w:rFonts w:cs="Arial"/>
          <w:color w:val="000000"/>
        </w:rPr>
      </w:pPr>
    </w:p>
    <w:p w:rsidR="00EF74A8" w:rsidRDefault="00744526" w:rsidP="00744526">
      <w:pPr>
        <w:pStyle w:val="Heading2"/>
        <w:rPr>
          <w:rStyle w:val="mw-headline"/>
          <w:rFonts w:cs="Arial"/>
          <w:color w:val="000000"/>
        </w:rPr>
      </w:pPr>
      <w:r>
        <w:rPr>
          <w:rStyle w:val="mw-headline"/>
          <w:rFonts w:cs="Arial"/>
          <w:color w:val="000000"/>
        </w:rPr>
        <w:t>Peripheral Venous Catheter (PVC)</w:t>
      </w:r>
    </w:p>
    <w:p w:rsidR="00744526" w:rsidRDefault="00744526" w:rsidP="00A4484B">
      <w:pPr>
        <w:rPr>
          <w:rStyle w:val="mw-headline"/>
          <w:rFonts w:cs="Arial"/>
          <w:color w:val="000000"/>
        </w:rPr>
      </w:pPr>
    </w:p>
    <w:p w:rsidR="0004173B" w:rsidRDefault="0004173B" w:rsidP="0004173B">
      <w:pPr>
        <w:pStyle w:val="Heading3"/>
      </w:pPr>
      <w:r>
        <w:t>Common Insertion Sites for PVC</w:t>
      </w:r>
    </w:p>
    <w:p w:rsidR="00EC3E87" w:rsidRDefault="00EC3E87" w:rsidP="00EC3E87"/>
    <w:p w:rsidR="004B0A05" w:rsidRDefault="004B0A05" w:rsidP="004B0A05"/>
    <w:p w:rsidR="004B0A05" w:rsidRPr="004B0A05" w:rsidRDefault="004E5688" w:rsidP="004B0A05">
      <w:r>
        <w:t xml:space="preserve">In the past </w:t>
      </w:r>
      <w:r w:rsidR="004B0A05">
        <w:t xml:space="preserve"> insertion sites </w:t>
      </w:r>
      <w:r>
        <w:t xml:space="preserve">have been defined </w:t>
      </w:r>
      <w:r w:rsidR="004B0A05">
        <w:t>somewhat generally e.g  Dorsum of left hand. However, this level of documentation is now deprecated and it is recommended to make a specific identification of the vein used.  Some veins traverse more than one surface site so it may be helpful for the user to be able to identify the general site and then the vein.</w:t>
      </w:r>
    </w:p>
    <w:p w:rsidR="0004173B" w:rsidRDefault="0004173B" w:rsidP="0004173B"/>
    <w:p w:rsidR="00F76260" w:rsidRPr="00F76260" w:rsidRDefault="00F76260" w:rsidP="00F76260">
      <w:pPr>
        <w:rPr>
          <w:u w:val="single"/>
        </w:rPr>
      </w:pPr>
      <w:r w:rsidRPr="00F76260">
        <w:rPr>
          <w:u w:val="single"/>
        </w:rPr>
        <w:t>Scalp</w:t>
      </w:r>
    </w:p>
    <w:p w:rsidR="00F76260" w:rsidRDefault="00F76260" w:rsidP="00F76260"/>
    <w:p w:rsidR="00F76260" w:rsidRDefault="00F76260" w:rsidP="00F76260">
      <w:pPr>
        <w:pStyle w:val="ListParagraph"/>
        <w:numPr>
          <w:ilvl w:val="0"/>
          <w:numId w:val="29"/>
        </w:numPr>
      </w:pPr>
      <w:r>
        <w:t>Posterior auricular</w:t>
      </w:r>
    </w:p>
    <w:p w:rsidR="00F76260" w:rsidRDefault="00F76260" w:rsidP="00F76260">
      <w:pPr>
        <w:pStyle w:val="ListParagraph"/>
        <w:numPr>
          <w:ilvl w:val="0"/>
          <w:numId w:val="29"/>
        </w:numPr>
      </w:pPr>
      <w:r>
        <w:t>Supratrochlear</w:t>
      </w:r>
    </w:p>
    <w:p w:rsidR="00F76260" w:rsidRDefault="00F76260" w:rsidP="00F76260"/>
    <w:p w:rsidR="00F76260" w:rsidRPr="00FA2658" w:rsidRDefault="00F76260" w:rsidP="00F76260">
      <w:pPr>
        <w:rPr>
          <w:u w:val="single"/>
        </w:rPr>
      </w:pPr>
      <w:r w:rsidRPr="00FA2658">
        <w:rPr>
          <w:u w:val="single"/>
        </w:rPr>
        <w:t>Neck</w:t>
      </w:r>
    </w:p>
    <w:p w:rsidR="00F76260" w:rsidRDefault="00F76260" w:rsidP="00F76260"/>
    <w:p w:rsidR="00F76260" w:rsidRDefault="00F76260" w:rsidP="00F76260">
      <w:pPr>
        <w:pStyle w:val="ListParagraph"/>
        <w:numPr>
          <w:ilvl w:val="0"/>
          <w:numId w:val="28"/>
        </w:numPr>
      </w:pPr>
      <w:r>
        <w:t>External jugular</w:t>
      </w:r>
    </w:p>
    <w:p w:rsidR="00F76260" w:rsidRDefault="00F76260" w:rsidP="00F76260"/>
    <w:p w:rsidR="00F76260" w:rsidRDefault="00F76260" w:rsidP="00F76260">
      <w:pPr>
        <w:jc w:val="both"/>
        <w:rPr>
          <w:u w:val="single"/>
        </w:rPr>
      </w:pPr>
      <w:r>
        <w:rPr>
          <w:u w:val="single"/>
        </w:rPr>
        <w:t>Upper arm</w:t>
      </w:r>
    </w:p>
    <w:p w:rsidR="00F76260" w:rsidRDefault="00F76260" w:rsidP="00F76260">
      <w:pPr>
        <w:ind w:left="360"/>
        <w:jc w:val="both"/>
        <w:rPr>
          <w:u w:val="single"/>
        </w:rPr>
      </w:pPr>
    </w:p>
    <w:p w:rsidR="00F76260" w:rsidRPr="00EC3E87" w:rsidRDefault="00F76260" w:rsidP="00F76260">
      <w:pPr>
        <w:pStyle w:val="ListParagraph"/>
        <w:numPr>
          <w:ilvl w:val="0"/>
          <w:numId w:val="27"/>
        </w:numPr>
      </w:pPr>
      <w:r w:rsidRPr="00EC3E87">
        <w:t>Brachial</w:t>
      </w:r>
    </w:p>
    <w:p w:rsidR="00F76260" w:rsidRPr="00EC3E87" w:rsidRDefault="00F76260" w:rsidP="00F76260">
      <w:pPr>
        <w:pStyle w:val="ListParagraph"/>
        <w:numPr>
          <w:ilvl w:val="0"/>
          <w:numId w:val="27"/>
        </w:numPr>
      </w:pPr>
      <w:r w:rsidRPr="00EC3E87">
        <w:t>Basilic</w:t>
      </w:r>
    </w:p>
    <w:p w:rsidR="00F76260" w:rsidRDefault="00F76260" w:rsidP="00F76260">
      <w:pPr>
        <w:pStyle w:val="ListParagraph"/>
        <w:numPr>
          <w:ilvl w:val="0"/>
          <w:numId w:val="27"/>
        </w:numPr>
      </w:pPr>
      <w:r w:rsidRPr="00EC3E87">
        <w:t>Cephalic</w:t>
      </w:r>
    </w:p>
    <w:p w:rsidR="00F76260" w:rsidRPr="00EC3E87" w:rsidRDefault="00F76260" w:rsidP="00F76260"/>
    <w:p w:rsidR="00F76260" w:rsidRDefault="00F76260" w:rsidP="00F76260">
      <w:pPr>
        <w:jc w:val="both"/>
        <w:rPr>
          <w:u w:val="single"/>
        </w:rPr>
      </w:pPr>
      <w:r>
        <w:rPr>
          <w:u w:val="single"/>
        </w:rPr>
        <w:t>Antecubital Fossa (inner elbow region) (all gauges are suitable)</w:t>
      </w:r>
    </w:p>
    <w:p w:rsidR="00F76260" w:rsidRDefault="00F76260" w:rsidP="00F76260">
      <w:pPr>
        <w:ind w:left="360"/>
        <w:jc w:val="both"/>
        <w:rPr>
          <w:u w:val="single"/>
        </w:rPr>
      </w:pPr>
    </w:p>
    <w:p w:rsidR="00F76260" w:rsidRDefault="00F76260" w:rsidP="00F76260">
      <w:pPr>
        <w:pStyle w:val="ListParagraph"/>
        <w:numPr>
          <w:ilvl w:val="0"/>
          <w:numId w:val="25"/>
        </w:numPr>
      </w:pPr>
      <w:r>
        <w:t>Cephalic</w:t>
      </w:r>
    </w:p>
    <w:p w:rsidR="00F76260" w:rsidRDefault="00F76260" w:rsidP="00F76260">
      <w:pPr>
        <w:pStyle w:val="ListParagraph"/>
        <w:numPr>
          <w:ilvl w:val="0"/>
          <w:numId w:val="25"/>
        </w:numPr>
      </w:pPr>
      <w:r>
        <w:t>Median cephalic</w:t>
      </w:r>
    </w:p>
    <w:p w:rsidR="00F76260" w:rsidRDefault="00F76260" w:rsidP="00F76260">
      <w:pPr>
        <w:pStyle w:val="ListParagraph"/>
        <w:numPr>
          <w:ilvl w:val="0"/>
          <w:numId w:val="25"/>
        </w:numPr>
      </w:pPr>
      <w:r>
        <w:t>Accessory cephalic</w:t>
      </w:r>
    </w:p>
    <w:p w:rsidR="00F76260" w:rsidRDefault="00F76260" w:rsidP="00F76260">
      <w:pPr>
        <w:pStyle w:val="ListParagraph"/>
        <w:numPr>
          <w:ilvl w:val="0"/>
          <w:numId w:val="25"/>
        </w:numPr>
      </w:pPr>
      <w:r w:rsidRPr="00EC3E87">
        <w:t>Basilic</w:t>
      </w:r>
    </w:p>
    <w:p w:rsidR="00F76260" w:rsidRDefault="00F76260" w:rsidP="00F76260">
      <w:pPr>
        <w:pStyle w:val="ListParagraph"/>
        <w:numPr>
          <w:ilvl w:val="0"/>
          <w:numId w:val="25"/>
        </w:numPr>
      </w:pPr>
      <w:r>
        <w:t>Median basilic</w:t>
      </w:r>
    </w:p>
    <w:p w:rsidR="00F76260" w:rsidRPr="00EC3E87" w:rsidRDefault="00F76260" w:rsidP="00F76260">
      <w:pPr>
        <w:pStyle w:val="ListParagraph"/>
        <w:numPr>
          <w:ilvl w:val="0"/>
          <w:numId w:val="25"/>
        </w:numPr>
      </w:pPr>
      <w:r>
        <w:t>Superficial median</w:t>
      </w:r>
    </w:p>
    <w:p w:rsidR="00F76260" w:rsidRPr="00EC3E87" w:rsidRDefault="00F76260" w:rsidP="00F76260">
      <w:pPr>
        <w:pStyle w:val="ListParagraph"/>
        <w:numPr>
          <w:ilvl w:val="0"/>
          <w:numId w:val="25"/>
        </w:numPr>
      </w:pPr>
      <w:r w:rsidRPr="00EC3E87">
        <w:t>Median cubital</w:t>
      </w:r>
    </w:p>
    <w:p w:rsidR="00F76260" w:rsidRDefault="00F76260" w:rsidP="0004173B"/>
    <w:p w:rsidR="00F76260" w:rsidRPr="00EC3E87" w:rsidRDefault="00F76260" w:rsidP="00F76260">
      <w:pPr>
        <w:jc w:val="both"/>
        <w:rPr>
          <w:u w:val="single"/>
        </w:rPr>
      </w:pPr>
      <w:r w:rsidRPr="00EC3E87">
        <w:rPr>
          <w:u w:val="single"/>
        </w:rPr>
        <w:lastRenderedPageBreak/>
        <w:t>Forearm</w:t>
      </w:r>
    </w:p>
    <w:p w:rsidR="00F76260" w:rsidRDefault="00F76260" w:rsidP="00F76260">
      <w:pPr>
        <w:jc w:val="both"/>
      </w:pPr>
    </w:p>
    <w:p w:rsidR="00F76260" w:rsidRPr="00EC3E87" w:rsidRDefault="00F76260" w:rsidP="00F76260">
      <w:pPr>
        <w:pStyle w:val="ListParagraph"/>
        <w:numPr>
          <w:ilvl w:val="0"/>
          <w:numId w:val="23"/>
        </w:numPr>
        <w:jc w:val="both"/>
      </w:pPr>
      <w:r w:rsidRPr="00EC3E87">
        <w:t>Cephalic</w:t>
      </w:r>
      <w:r>
        <w:t xml:space="preserve"> (22G – 18G)</w:t>
      </w:r>
    </w:p>
    <w:p w:rsidR="00F76260" w:rsidRPr="00EC3E87" w:rsidRDefault="00F76260" w:rsidP="00F76260">
      <w:pPr>
        <w:pStyle w:val="ListParagraph"/>
        <w:numPr>
          <w:ilvl w:val="0"/>
          <w:numId w:val="23"/>
        </w:numPr>
        <w:jc w:val="both"/>
      </w:pPr>
      <w:r w:rsidRPr="00EC3E87">
        <w:t>Median antebrachial</w:t>
      </w:r>
    </w:p>
    <w:p w:rsidR="00F76260" w:rsidRPr="00EC3E87" w:rsidRDefault="00F76260" w:rsidP="00F76260">
      <w:pPr>
        <w:pStyle w:val="ListParagraph"/>
        <w:numPr>
          <w:ilvl w:val="0"/>
          <w:numId w:val="23"/>
        </w:numPr>
        <w:jc w:val="both"/>
      </w:pPr>
      <w:r w:rsidRPr="00EC3E87">
        <w:t>Accessory cephalic</w:t>
      </w:r>
    </w:p>
    <w:p w:rsidR="00F76260" w:rsidRDefault="00F76260" w:rsidP="0004173B"/>
    <w:p w:rsidR="004B0A05" w:rsidRPr="004B0A05" w:rsidRDefault="004B0A05" w:rsidP="00F76260">
      <w:pPr>
        <w:jc w:val="both"/>
        <w:rPr>
          <w:u w:val="single"/>
        </w:rPr>
      </w:pPr>
      <w:r w:rsidRPr="004B0A05">
        <w:rPr>
          <w:u w:val="single"/>
        </w:rPr>
        <w:t>Dorsum of hand</w:t>
      </w:r>
    </w:p>
    <w:p w:rsidR="004B0A05" w:rsidRDefault="004B0A05" w:rsidP="004B0A05">
      <w:pPr>
        <w:ind w:left="360"/>
        <w:jc w:val="both"/>
      </w:pPr>
    </w:p>
    <w:p w:rsidR="00EC3E87" w:rsidRDefault="00EC3E87" w:rsidP="0004173B">
      <w:pPr>
        <w:pStyle w:val="ListParagraph"/>
        <w:numPr>
          <w:ilvl w:val="0"/>
          <w:numId w:val="9"/>
        </w:numPr>
        <w:jc w:val="both"/>
      </w:pPr>
      <w:r>
        <w:t>Dorsal digital</w:t>
      </w:r>
    </w:p>
    <w:p w:rsidR="0004173B" w:rsidRDefault="0004173B" w:rsidP="0004173B">
      <w:pPr>
        <w:pStyle w:val="ListParagraph"/>
        <w:numPr>
          <w:ilvl w:val="0"/>
          <w:numId w:val="9"/>
        </w:numPr>
        <w:jc w:val="both"/>
      </w:pPr>
      <w:r>
        <w:t>Dorsal metacarpal</w:t>
      </w:r>
      <w:r w:rsidR="00F76260">
        <w:t xml:space="preserve"> (22G)</w:t>
      </w:r>
    </w:p>
    <w:p w:rsidR="00EC3E87" w:rsidRDefault="00FA2658" w:rsidP="0004173B">
      <w:pPr>
        <w:pStyle w:val="ListParagraph"/>
        <w:numPr>
          <w:ilvl w:val="0"/>
          <w:numId w:val="9"/>
        </w:numPr>
        <w:jc w:val="both"/>
      </w:pPr>
      <w:r>
        <w:t>Dorsal venous arch</w:t>
      </w:r>
    </w:p>
    <w:p w:rsidR="00EC3E87" w:rsidRDefault="00EC3E87" w:rsidP="00F76260">
      <w:pPr>
        <w:pStyle w:val="ListParagraph"/>
        <w:numPr>
          <w:ilvl w:val="0"/>
          <w:numId w:val="9"/>
        </w:numPr>
        <w:jc w:val="both"/>
      </w:pPr>
      <w:r>
        <w:t>Basilic</w:t>
      </w:r>
      <w:r w:rsidR="00F76260">
        <w:t xml:space="preserve"> </w:t>
      </w:r>
      <w:r w:rsidR="00F76260" w:rsidRPr="00F76260">
        <w:t>(22G – 18G)</w:t>
      </w:r>
    </w:p>
    <w:p w:rsidR="00F76260" w:rsidRDefault="00F76260" w:rsidP="00F76260">
      <w:pPr>
        <w:jc w:val="both"/>
      </w:pPr>
    </w:p>
    <w:p w:rsidR="00F76260" w:rsidRPr="00F76260" w:rsidRDefault="00F76260" w:rsidP="00F76260">
      <w:pPr>
        <w:jc w:val="both"/>
        <w:rPr>
          <w:u w:val="single"/>
        </w:rPr>
      </w:pPr>
      <w:r w:rsidRPr="00F76260">
        <w:rPr>
          <w:u w:val="single"/>
        </w:rPr>
        <w:t>Umbilical region</w:t>
      </w:r>
    </w:p>
    <w:p w:rsidR="00F76260" w:rsidRDefault="00F76260" w:rsidP="00F76260">
      <w:pPr>
        <w:jc w:val="both"/>
      </w:pPr>
    </w:p>
    <w:p w:rsidR="00F76260" w:rsidRDefault="00F76260" w:rsidP="00F76260">
      <w:pPr>
        <w:pStyle w:val="ListParagraph"/>
        <w:numPr>
          <w:ilvl w:val="0"/>
          <w:numId w:val="30"/>
        </w:numPr>
        <w:jc w:val="both"/>
      </w:pPr>
      <w:r>
        <w:t>Umbilical</w:t>
      </w:r>
      <w:r w:rsidR="002F4490">
        <w:t xml:space="preserve"> (normally only used in paediatric cases)</w:t>
      </w:r>
    </w:p>
    <w:p w:rsidR="00EC3E87" w:rsidRDefault="00EC3E87" w:rsidP="00EC3E87">
      <w:pPr>
        <w:jc w:val="both"/>
      </w:pPr>
    </w:p>
    <w:p w:rsidR="00F76260" w:rsidRDefault="00F76260" w:rsidP="00F76260">
      <w:pPr>
        <w:jc w:val="both"/>
        <w:rPr>
          <w:u w:val="single"/>
        </w:rPr>
      </w:pPr>
      <w:r>
        <w:rPr>
          <w:u w:val="single"/>
        </w:rPr>
        <w:t>Leg</w:t>
      </w:r>
    </w:p>
    <w:p w:rsidR="00F76260" w:rsidRDefault="00F76260" w:rsidP="004B0A05">
      <w:pPr>
        <w:ind w:left="360"/>
        <w:jc w:val="both"/>
        <w:rPr>
          <w:u w:val="single"/>
        </w:rPr>
      </w:pPr>
    </w:p>
    <w:p w:rsidR="00F76260" w:rsidRDefault="00F76260" w:rsidP="00F76260">
      <w:pPr>
        <w:pStyle w:val="ListParagraph"/>
        <w:numPr>
          <w:ilvl w:val="0"/>
          <w:numId w:val="9"/>
        </w:numPr>
        <w:jc w:val="both"/>
      </w:pPr>
      <w:r>
        <w:t>Subclavian vein</w:t>
      </w:r>
    </w:p>
    <w:p w:rsidR="00F76260" w:rsidRDefault="00F76260" w:rsidP="00F76260">
      <w:pPr>
        <w:pStyle w:val="ListParagraph"/>
        <w:numPr>
          <w:ilvl w:val="0"/>
          <w:numId w:val="9"/>
        </w:numPr>
        <w:jc w:val="both"/>
      </w:pPr>
      <w:r>
        <w:t>Axillary vein</w:t>
      </w:r>
    </w:p>
    <w:p w:rsidR="00F76260" w:rsidRDefault="00F76260" w:rsidP="00F76260">
      <w:pPr>
        <w:pStyle w:val="ListParagraph"/>
        <w:numPr>
          <w:ilvl w:val="0"/>
          <w:numId w:val="9"/>
        </w:numPr>
        <w:jc w:val="both"/>
      </w:pPr>
      <w:r>
        <w:t>Femoral vein</w:t>
      </w:r>
    </w:p>
    <w:p w:rsidR="00F76260" w:rsidRPr="00F76260" w:rsidRDefault="00F76260" w:rsidP="00F76260">
      <w:pPr>
        <w:pStyle w:val="ListParagraph"/>
        <w:numPr>
          <w:ilvl w:val="0"/>
          <w:numId w:val="9"/>
        </w:numPr>
        <w:jc w:val="both"/>
        <w:rPr>
          <w:u w:val="single"/>
        </w:rPr>
      </w:pPr>
      <w:r>
        <w:t>Other [specify</w:t>
      </w:r>
      <w:r w:rsidRPr="00F76260">
        <w:rPr>
          <w:u w:val="single"/>
        </w:rPr>
        <w:t xml:space="preserve"> </w:t>
      </w:r>
    </w:p>
    <w:p w:rsidR="00F76260" w:rsidRDefault="00F76260" w:rsidP="00F76260">
      <w:pPr>
        <w:jc w:val="both"/>
        <w:rPr>
          <w:u w:val="single"/>
        </w:rPr>
      </w:pPr>
    </w:p>
    <w:p w:rsidR="00F76260" w:rsidRPr="004B0A05" w:rsidRDefault="00F76260" w:rsidP="00F76260">
      <w:pPr>
        <w:jc w:val="both"/>
        <w:rPr>
          <w:u w:val="single"/>
        </w:rPr>
      </w:pPr>
      <w:r w:rsidRPr="004B0A05">
        <w:rPr>
          <w:u w:val="single"/>
        </w:rPr>
        <w:t>Ankle</w:t>
      </w:r>
    </w:p>
    <w:p w:rsidR="00F76260" w:rsidRDefault="00F76260" w:rsidP="00F76260">
      <w:pPr>
        <w:jc w:val="both"/>
      </w:pPr>
    </w:p>
    <w:p w:rsidR="00F76260" w:rsidRDefault="00F76260" w:rsidP="00F76260">
      <w:pPr>
        <w:pStyle w:val="ListParagraph"/>
        <w:numPr>
          <w:ilvl w:val="0"/>
          <w:numId w:val="21"/>
        </w:numPr>
        <w:jc w:val="both"/>
      </w:pPr>
      <w:r>
        <w:t>Saphenous</w:t>
      </w:r>
    </w:p>
    <w:p w:rsidR="00F76260" w:rsidRDefault="00F76260" w:rsidP="00F76260">
      <w:pPr>
        <w:ind w:firstLine="360"/>
        <w:jc w:val="both"/>
        <w:rPr>
          <w:u w:val="single"/>
        </w:rPr>
      </w:pPr>
    </w:p>
    <w:p w:rsidR="004B0A05" w:rsidRPr="004B0A05" w:rsidRDefault="004B0A05" w:rsidP="00F76260">
      <w:pPr>
        <w:jc w:val="both"/>
        <w:rPr>
          <w:u w:val="single"/>
        </w:rPr>
      </w:pPr>
      <w:r w:rsidRPr="004B0A05">
        <w:rPr>
          <w:u w:val="single"/>
        </w:rPr>
        <w:t>Foot</w:t>
      </w:r>
    </w:p>
    <w:p w:rsidR="004B0A05" w:rsidRDefault="004B0A05" w:rsidP="0004173B">
      <w:pPr>
        <w:jc w:val="both"/>
      </w:pPr>
    </w:p>
    <w:p w:rsidR="00FA2658" w:rsidRDefault="00FA2658" w:rsidP="004B0A05">
      <w:pPr>
        <w:pStyle w:val="ListParagraph"/>
        <w:numPr>
          <w:ilvl w:val="0"/>
          <w:numId w:val="21"/>
        </w:numPr>
        <w:jc w:val="both"/>
      </w:pPr>
      <w:r>
        <w:t>Great saphenous</w:t>
      </w:r>
    </w:p>
    <w:p w:rsidR="00FA2658" w:rsidRDefault="00FA2658" w:rsidP="004B0A05">
      <w:pPr>
        <w:pStyle w:val="ListParagraph"/>
        <w:numPr>
          <w:ilvl w:val="0"/>
          <w:numId w:val="21"/>
        </w:numPr>
        <w:jc w:val="both"/>
      </w:pPr>
      <w:r>
        <w:t>Lesser saphenous</w:t>
      </w:r>
    </w:p>
    <w:p w:rsidR="004B0A05" w:rsidRDefault="004B0A05" w:rsidP="004B0A05">
      <w:pPr>
        <w:pStyle w:val="ListParagraph"/>
        <w:numPr>
          <w:ilvl w:val="0"/>
          <w:numId w:val="21"/>
        </w:numPr>
        <w:jc w:val="both"/>
      </w:pPr>
      <w:r>
        <w:t xml:space="preserve">Dorsal </w:t>
      </w:r>
      <w:r w:rsidR="00FA2658">
        <w:t xml:space="preserve">venous </w:t>
      </w:r>
      <w:r>
        <w:t>arch</w:t>
      </w:r>
    </w:p>
    <w:p w:rsidR="004B0A05" w:rsidRDefault="004B0A05" w:rsidP="0004173B">
      <w:pPr>
        <w:jc w:val="both"/>
      </w:pPr>
    </w:p>
    <w:p w:rsidR="004B0A05" w:rsidRDefault="004B0A05" w:rsidP="004B0A05"/>
    <w:p w:rsidR="00A4484B" w:rsidRDefault="00A4484B" w:rsidP="00A4484B">
      <w:pPr>
        <w:pStyle w:val="Heading2"/>
      </w:pPr>
      <w:r>
        <w:t>Peripherally Inserted Central Venous Catheter</w:t>
      </w:r>
    </w:p>
    <w:p w:rsidR="00A4484B" w:rsidRPr="00A4484B" w:rsidRDefault="00A4484B" w:rsidP="00A4484B"/>
    <w:p w:rsidR="00A4484B" w:rsidRDefault="00A4484B" w:rsidP="00A4484B">
      <w:pPr>
        <w:pStyle w:val="Heading3"/>
      </w:pPr>
      <w:r>
        <w:t>Insertion site</w:t>
      </w:r>
    </w:p>
    <w:p w:rsidR="00A4484B" w:rsidRDefault="00A4484B" w:rsidP="00A4484B"/>
    <w:p w:rsidR="00A4484B" w:rsidRDefault="00A4484B" w:rsidP="0005189E">
      <w:pPr>
        <w:pStyle w:val="ListParagraph"/>
        <w:numPr>
          <w:ilvl w:val="0"/>
          <w:numId w:val="11"/>
        </w:numPr>
      </w:pPr>
      <w:r>
        <w:t>C</w:t>
      </w:r>
      <w:r w:rsidRPr="00A4484B">
        <w:t>ephalic vein</w:t>
      </w:r>
    </w:p>
    <w:p w:rsidR="00A4484B" w:rsidRDefault="00A4484B" w:rsidP="0005189E">
      <w:pPr>
        <w:pStyle w:val="ListParagraph"/>
        <w:numPr>
          <w:ilvl w:val="0"/>
          <w:numId w:val="11"/>
        </w:numPr>
      </w:pPr>
      <w:r>
        <w:t>B</w:t>
      </w:r>
      <w:r w:rsidRPr="00A4484B">
        <w:t>asilic vein</w:t>
      </w:r>
    </w:p>
    <w:p w:rsidR="00A4484B" w:rsidRDefault="00A4484B" w:rsidP="0005189E">
      <w:pPr>
        <w:pStyle w:val="ListParagraph"/>
        <w:numPr>
          <w:ilvl w:val="0"/>
          <w:numId w:val="11"/>
        </w:numPr>
      </w:pPr>
      <w:r>
        <w:t>B</w:t>
      </w:r>
      <w:r w:rsidRPr="00A4484B">
        <w:t>rachial vein</w:t>
      </w:r>
    </w:p>
    <w:p w:rsidR="00A4484B" w:rsidRDefault="00A4484B" w:rsidP="0005189E">
      <w:pPr>
        <w:pStyle w:val="ListParagraph"/>
        <w:numPr>
          <w:ilvl w:val="0"/>
          <w:numId w:val="11"/>
        </w:numPr>
      </w:pPr>
      <w:r>
        <w:t>Other [specify]</w:t>
      </w:r>
    </w:p>
    <w:p w:rsidR="00A4484B" w:rsidRDefault="00A4484B" w:rsidP="00A4484B">
      <w:pPr>
        <w:ind w:left="34"/>
        <w:jc w:val="both"/>
      </w:pPr>
    </w:p>
    <w:p w:rsidR="00A4484B" w:rsidRDefault="00F733D2" w:rsidP="00F733D2">
      <w:pPr>
        <w:pStyle w:val="Heading3"/>
      </w:pPr>
      <w:r>
        <w:t>Adjunctive technique</w:t>
      </w:r>
    </w:p>
    <w:p w:rsidR="00F733D2" w:rsidRDefault="00F733D2" w:rsidP="00A4484B"/>
    <w:p w:rsidR="00F733D2" w:rsidRDefault="00F733D2" w:rsidP="0005189E">
      <w:pPr>
        <w:pStyle w:val="ListParagraph"/>
        <w:numPr>
          <w:ilvl w:val="0"/>
          <w:numId w:val="13"/>
        </w:numPr>
      </w:pPr>
      <w:r>
        <w:t>Ultrasound</w:t>
      </w:r>
    </w:p>
    <w:p w:rsidR="00F733D2" w:rsidRDefault="00F733D2" w:rsidP="0005189E">
      <w:pPr>
        <w:pStyle w:val="ListParagraph"/>
        <w:numPr>
          <w:ilvl w:val="0"/>
          <w:numId w:val="13"/>
        </w:numPr>
      </w:pPr>
      <w:r>
        <w:t>Chest X-ray</w:t>
      </w:r>
      <w:r w:rsidR="00533A03">
        <w:t xml:space="preserve"> (CXR)</w:t>
      </w:r>
    </w:p>
    <w:p w:rsidR="00F733D2" w:rsidRDefault="00F733D2" w:rsidP="0005189E">
      <w:pPr>
        <w:pStyle w:val="ListParagraph"/>
        <w:numPr>
          <w:ilvl w:val="0"/>
          <w:numId w:val="13"/>
        </w:numPr>
      </w:pPr>
      <w:r>
        <w:t>Flouroscopy</w:t>
      </w:r>
    </w:p>
    <w:p w:rsidR="00F733D2" w:rsidRDefault="00F733D2" w:rsidP="0005189E">
      <w:pPr>
        <w:pStyle w:val="ListParagraph"/>
        <w:numPr>
          <w:ilvl w:val="0"/>
          <w:numId w:val="13"/>
        </w:numPr>
      </w:pPr>
      <w:r>
        <w:t>Other [specify]</w:t>
      </w:r>
    </w:p>
    <w:p w:rsidR="00F733D2" w:rsidRPr="00A4484B" w:rsidRDefault="00F733D2" w:rsidP="00A4484B"/>
    <w:p w:rsidR="00A4484B" w:rsidRDefault="00A4484B" w:rsidP="00680D57"/>
    <w:p w:rsidR="00A4484B" w:rsidRDefault="004D053A" w:rsidP="004D053A">
      <w:pPr>
        <w:pStyle w:val="Heading2"/>
      </w:pPr>
      <w:r>
        <w:t>Arterial lines</w:t>
      </w:r>
    </w:p>
    <w:p w:rsidR="004D053A" w:rsidRDefault="004D053A" w:rsidP="00680D57"/>
    <w:p w:rsidR="00A4484B" w:rsidRDefault="004D053A" w:rsidP="00680D57">
      <w:r>
        <w:t>Arterial lines are usually used to obtain samples of blood, typically for blood gas analysis and for invasive blood pressure measurement.</w:t>
      </w:r>
    </w:p>
    <w:p w:rsidR="004D053A" w:rsidRDefault="004D053A" w:rsidP="00680D57"/>
    <w:p w:rsidR="004D053A" w:rsidRDefault="004D053A" w:rsidP="004D053A">
      <w:pPr>
        <w:pStyle w:val="Heading3"/>
      </w:pPr>
      <w:r>
        <w:t>Insertion Sites for arterial lines</w:t>
      </w:r>
    </w:p>
    <w:p w:rsidR="004D053A" w:rsidRDefault="004D053A" w:rsidP="004D053A"/>
    <w:p w:rsidR="004D053A" w:rsidRDefault="004D053A" w:rsidP="004D053A">
      <w:pPr>
        <w:pStyle w:val="ListParagraph"/>
        <w:numPr>
          <w:ilvl w:val="0"/>
          <w:numId w:val="31"/>
        </w:numPr>
      </w:pPr>
      <w:r>
        <w:t>Radial artery (most common, preferred)</w:t>
      </w:r>
    </w:p>
    <w:p w:rsidR="004D053A" w:rsidRDefault="004D053A" w:rsidP="004D053A">
      <w:pPr>
        <w:pStyle w:val="ListParagraph"/>
        <w:numPr>
          <w:ilvl w:val="0"/>
          <w:numId w:val="31"/>
        </w:numPr>
      </w:pPr>
      <w:r>
        <w:t>Ulnar</w:t>
      </w:r>
    </w:p>
    <w:p w:rsidR="004D053A" w:rsidRDefault="004D053A" w:rsidP="004D053A">
      <w:pPr>
        <w:pStyle w:val="ListParagraph"/>
        <w:numPr>
          <w:ilvl w:val="0"/>
          <w:numId w:val="31"/>
        </w:numPr>
      </w:pPr>
      <w:r>
        <w:t>Brachial</w:t>
      </w:r>
    </w:p>
    <w:p w:rsidR="004D053A" w:rsidRDefault="004D053A" w:rsidP="004D053A">
      <w:pPr>
        <w:pStyle w:val="ListParagraph"/>
        <w:numPr>
          <w:ilvl w:val="0"/>
          <w:numId w:val="31"/>
        </w:numPr>
      </w:pPr>
      <w:r>
        <w:t>Axillary</w:t>
      </w:r>
    </w:p>
    <w:p w:rsidR="004D053A" w:rsidRDefault="004D053A" w:rsidP="004D053A">
      <w:pPr>
        <w:pStyle w:val="ListParagraph"/>
        <w:numPr>
          <w:ilvl w:val="0"/>
          <w:numId w:val="31"/>
        </w:numPr>
      </w:pPr>
      <w:r>
        <w:t>Dorsalis pedis</w:t>
      </w:r>
    </w:p>
    <w:p w:rsidR="004D053A" w:rsidRDefault="004D053A" w:rsidP="004D053A">
      <w:pPr>
        <w:pStyle w:val="ListParagraph"/>
        <w:numPr>
          <w:ilvl w:val="0"/>
          <w:numId w:val="31"/>
        </w:numPr>
      </w:pPr>
      <w:r>
        <w:t>Posterial tibial</w:t>
      </w:r>
    </w:p>
    <w:p w:rsidR="004D053A" w:rsidRDefault="004D053A" w:rsidP="004D053A">
      <w:pPr>
        <w:pStyle w:val="ListParagraph"/>
        <w:numPr>
          <w:ilvl w:val="0"/>
          <w:numId w:val="31"/>
        </w:numPr>
      </w:pPr>
      <w:r>
        <w:t>Femoral</w:t>
      </w:r>
    </w:p>
    <w:p w:rsidR="004D053A" w:rsidRPr="004D053A" w:rsidRDefault="004D053A" w:rsidP="004D053A"/>
    <w:p w:rsidR="004D053A" w:rsidRDefault="004D053A" w:rsidP="004D053A">
      <w:pPr>
        <w:pStyle w:val="Heading3"/>
      </w:pPr>
      <w:r>
        <w:t>Typical Gauges for arterial lines</w:t>
      </w:r>
    </w:p>
    <w:p w:rsidR="004D053A" w:rsidRDefault="004D053A" w:rsidP="00680D57"/>
    <w:p w:rsidR="004D053A" w:rsidRDefault="004D053A" w:rsidP="004D053A">
      <w:pPr>
        <w:pStyle w:val="ListParagraph"/>
        <w:numPr>
          <w:ilvl w:val="0"/>
          <w:numId w:val="32"/>
        </w:numPr>
      </w:pPr>
      <w:r>
        <w:t>20G  adults</w:t>
      </w:r>
    </w:p>
    <w:p w:rsidR="004D053A" w:rsidRDefault="004D053A" w:rsidP="004D053A">
      <w:pPr>
        <w:pStyle w:val="ListParagraph"/>
        <w:numPr>
          <w:ilvl w:val="0"/>
          <w:numId w:val="32"/>
        </w:numPr>
      </w:pPr>
      <w:r>
        <w:t>22G paediatrics</w:t>
      </w:r>
    </w:p>
    <w:p w:rsidR="004D053A" w:rsidRDefault="004D053A" w:rsidP="004D053A">
      <w:pPr>
        <w:pStyle w:val="ListParagraph"/>
        <w:numPr>
          <w:ilvl w:val="0"/>
          <w:numId w:val="32"/>
        </w:numPr>
      </w:pPr>
      <w:r>
        <w:t>24G neonates and small babies</w:t>
      </w:r>
    </w:p>
    <w:p w:rsidR="00D030DE" w:rsidRDefault="00D030DE" w:rsidP="00680D57"/>
    <w:p w:rsidR="004D053A" w:rsidRDefault="00512B22" w:rsidP="00512B22">
      <w:pPr>
        <w:pStyle w:val="Heading2"/>
      </w:pPr>
      <w:r>
        <w:t>Intra-osseous</w:t>
      </w:r>
    </w:p>
    <w:p w:rsidR="00512B22" w:rsidRDefault="00512B22" w:rsidP="00512B22"/>
    <w:p w:rsidR="00512B22" w:rsidRPr="00512B22" w:rsidRDefault="00512B22" w:rsidP="00512B22">
      <w:r>
        <w:t>Intraosseous infusion is particularly used with children but may also be used in adults.  There are special intraosseous needles but hypodermics and spinal needles may also sometimes be used.</w:t>
      </w:r>
    </w:p>
    <w:p w:rsidR="00512B22" w:rsidRDefault="00512B22" w:rsidP="00512B22"/>
    <w:p w:rsidR="00512B22" w:rsidRDefault="00512B22" w:rsidP="00512B22">
      <w:pPr>
        <w:pStyle w:val="Heading3"/>
      </w:pPr>
      <w:r>
        <w:t>Bones used for intra-osseous lines</w:t>
      </w:r>
    </w:p>
    <w:p w:rsidR="00512B22" w:rsidRDefault="00512B22" w:rsidP="00512B22"/>
    <w:p w:rsidR="00512B22" w:rsidRDefault="00512B22" w:rsidP="00512B22">
      <w:pPr>
        <w:pStyle w:val="ListParagraph"/>
        <w:numPr>
          <w:ilvl w:val="0"/>
          <w:numId w:val="33"/>
        </w:numPr>
      </w:pPr>
      <w:r>
        <w:t>Sternum</w:t>
      </w:r>
    </w:p>
    <w:p w:rsidR="00512B22" w:rsidRDefault="00512B22" w:rsidP="00512B22">
      <w:pPr>
        <w:pStyle w:val="ListParagraph"/>
        <w:numPr>
          <w:ilvl w:val="0"/>
          <w:numId w:val="33"/>
        </w:numPr>
      </w:pPr>
      <w:r>
        <w:t>Humerus</w:t>
      </w:r>
    </w:p>
    <w:p w:rsidR="00512B22" w:rsidRDefault="00512B22" w:rsidP="00512B22">
      <w:pPr>
        <w:pStyle w:val="ListParagraph"/>
        <w:numPr>
          <w:ilvl w:val="0"/>
          <w:numId w:val="33"/>
        </w:numPr>
      </w:pPr>
      <w:r>
        <w:t>Distal femur</w:t>
      </w:r>
    </w:p>
    <w:p w:rsidR="00512B22" w:rsidRDefault="00512B22" w:rsidP="00512B22">
      <w:pPr>
        <w:pStyle w:val="ListParagraph"/>
        <w:numPr>
          <w:ilvl w:val="0"/>
          <w:numId w:val="33"/>
        </w:numPr>
      </w:pPr>
      <w:r>
        <w:t>Proximal tibia (most common, preferred)</w:t>
      </w:r>
    </w:p>
    <w:p w:rsidR="00512B22" w:rsidRDefault="00512B22" w:rsidP="00512B22">
      <w:pPr>
        <w:pStyle w:val="ListParagraph"/>
        <w:numPr>
          <w:ilvl w:val="0"/>
          <w:numId w:val="33"/>
        </w:numPr>
      </w:pPr>
      <w:r>
        <w:t>Distal tibia</w:t>
      </w:r>
    </w:p>
    <w:p w:rsidR="00512B22" w:rsidRDefault="00512B22" w:rsidP="00512B22"/>
    <w:p w:rsidR="00512B22" w:rsidRDefault="00E065A3" w:rsidP="00E065A3">
      <w:pPr>
        <w:pStyle w:val="Heading2"/>
      </w:pPr>
      <w:r>
        <w:t>Pulmonary wedge pressure (PWP)</w:t>
      </w:r>
    </w:p>
    <w:p w:rsidR="00E065A3" w:rsidRPr="00512B22" w:rsidRDefault="00E065A3" w:rsidP="00512B22"/>
    <w:p w:rsidR="00E065A3" w:rsidRDefault="00E065A3" w:rsidP="00E065A3">
      <w:r>
        <w:t xml:space="preserve">The pulmonary capillary wedge pressure or PCWP (also called the pulmonary wedge pressure or PWP, or pulmonary artery occlusion pressure or PAOP) is the pressure measured by wedging a pulmonary catheter with an inflated balloon into a small pulmonary arterial branch.  </w:t>
      </w:r>
    </w:p>
    <w:p w:rsidR="00E065A3" w:rsidRDefault="00E065A3" w:rsidP="00E065A3"/>
    <w:p w:rsidR="00E065A3" w:rsidRDefault="00E065A3" w:rsidP="00E065A3">
      <w:r w:rsidRPr="00E065A3">
        <w:t>The flow-directed balloon-tipped pulmonary artery catheter (PAC) (also known as the Swan-Ganz or right heart catheter) has been in clinical use for more than 30 years.</w:t>
      </w:r>
    </w:p>
    <w:p w:rsidR="00E065A3" w:rsidRDefault="00E065A3" w:rsidP="00E065A3"/>
    <w:p w:rsidR="00E065A3" w:rsidRDefault="004E5688" w:rsidP="00E065A3">
      <w:r>
        <w:lastRenderedPageBreak/>
        <w:t>T</w:t>
      </w:r>
      <w:r w:rsidR="00E065A3">
        <w:t>ypically, a multilumen catheter, 110 cm long, with extra connecting tubes for attachment to the pressure transducer</w:t>
      </w:r>
      <w:r w:rsidR="003B7EE1">
        <w:t>. A description (example, is below).</w:t>
      </w:r>
    </w:p>
    <w:p w:rsidR="00E065A3" w:rsidRDefault="00E065A3" w:rsidP="00E065A3"/>
    <w:p w:rsidR="00E065A3" w:rsidRDefault="00E065A3" w:rsidP="00E065A3">
      <w:r>
        <w:t>At the tip is the PA lumen, or distal lumen. A 1.5-cc balloon is located just proximal to the tip. Approximately 4 cm proximal to the balloon is the thermistor used to measure temperature changes for calculation of CO.</w:t>
      </w:r>
    </w:p>
    <w:p w:rsidR="00E065A3" w:rsidRDefault="00E065A3" w:rsidP="00E065A3"/>
    <w:p w:rsidR="00E065A3" w:rsidRDefault="00E065A3" w:rsidP="00E065A3">
      <w:r>
        <w:t>Two additional lumens usually are present at 19 cm and 30 cm from the tip. Depending on the degree of right heart enlargement and the position of the catheter (ie, distance advanced into the patient), these lumina reside within the right ventricle (RV), right atrium (RA), or the superior vena cava (SVC).</w:t>
      </w:r>
    </w:p>
    <w:p w:rsidR="00E065A3" w:rsidRDefault="00E065A3" w:rsidP="00E065A3"/>
    <w:p w:rsidR="00E065A3" w:rsidRDefault="00E065A3" w:rsidP="00E065A3">
      <w:r>
        <w:t>Some catheters are coated with heparin to reduce thrombogenicity and have connections for temporary ventricular pacing. The former is important to remember in case the patient develops heparin-induced thrombocytopenia, because only a small amount of heparin is necessary to sustain this process.</w:t>
      </w:r>
    </w:p>
    <w:p w:rsidR="00E065A3" w:rsidRDefault="00E065A3" w:rsidP="00E065A3"/>
    <w:p w:rsidR="00E065A3" w:rsidRDefault="00E065A3" w:rsidP="00E065A3">
      <w:r>
        <w:t>Proper attachment of the PAC to the monitoring equipment is essential for accurate measurements.</w:t>
      </w:r>
    </w:p>
    <w:p w:rsidR="00E065A3" w:rsidRDefault="00E065A3" w:rsidP="00E065A3"/>
    <w:p w:rsidR="00E065A3" w:rsidRDefault="00E065A3" w:rsidP="00E065A3">
      <w:r>
        <w:t>Transmission of pressures from the body to the display system is accomplished via semirigid, noncompliant tubing filled with fluid, usually isotonic saline with a small amount of heparin. This, in turn, is connected to a fluid-filled pressure transducer.</w:t>
      </w:r>
    </w:p>
    <w:p w:rsidR="00E065A3" w:rsidRDefault="00E065A3" w:rsidP="00E065A3"/>
    <w:p w:rsidR="00E065A3" w:rsidRDefault="00E065A3" w:rsidP="00E065A3">
      <w:r>
        <w:t>Often, a constant infusion or "interflow" device is placed into the connecting pressure line. This device does not alter the pressure and provides a small constant infusion of fluid through the catheter to prevent backup of blood. Because the fluid is incompressible and the tubing noncompliant, this system fairly accurately transmits intracardiac pressures to the transducer, causing small amounts of movement in the transducer membrane. Deformation of this membrane generates a proportional electric current that is amplified and transmitted to the monitor.</w:t>
      </w:r>
    </w:p>
    <w:p w:rsidR="00E065A3" w:rsidRDefault="00E065A3" w:rsidP="00E065A3"/>
    <w:p w:rsidR="00E065A3" w:rsidRDefault="00E065A3" w:rsidP="00E065A3">
      <w:r>
        <w:t>A guide wire catheter may be useful in patients with large RVs and a lot of tricuspid regurgitation.</w:t>
      </w:r>
    </w:p>
    <w:p w:rsidR="007F143E" w:rsidRDefault="007F143E" w:rsidP="00E065A3"/>
    <w:p w:rsidR="007F143E" w:rsidRDefault="007F143E" w:rsidP="007F143E">
      <w:pPr>
        <w:pStyle w:val="Heading3"/>
        <w:pBdr>
          <w:bottom w:val="dotted" w:sz="6" w:space="2" w:color="CBDABC"/>
        </w:pBdr>
        <w:shd w:val="clear" w:color="auto" w:fill="FFFFFF"/>
        <w:spacing w:after="75"/>
        <w:rPr>
          <w:rFonts w:cs="Arial"/>
          <w:color w:val="000000"/>
          <w:sz w:val="25"/>
          <w:szCs w:val="25"/>
        </w:rPr>
      </w:pPr>
      <w:r>
        <w:rPr>
          <w:rFonts w:cs="Arial"/>
          <w:color w:val="000000"/>
          <w:sz w:val="25"/>
          <w:szCs w:val="25"/>
        </w:rPr>
        <w:t>PAC insertion</w:t>
      </w:r>
    </w:p>
    <w:p w:rsidR="007F143E" w:rsidRDefault="007F143E" w:rsidP="007F143E">
      <w:pPr>
        <w:pStyle w:val="NormalWeb"/>
        <w:shd w:val="clear" w:color="auto" w:fill="FFFFFF"/>
        <w:spacing w:before="0" w:beforeAutospacing="0" w:after="180" w:afterAutospacing="0"/>
        <w:rPr>
          <w:rFonts w:ascii="Arial" w:hAnsi="Arial" w:cs="Arial"/>
          <w:color w:val="000000"/>
          <w:sz w:val="20"/>
          <w:szCs w:val="20"/>
        </w:rPr>
      </w:pPr>
      <w:r>
        <w:rPr>
          <w:rFonts w:ascii="Arial" w:hAnsi="Arial" w:cs="Arial"/>
          <w:color w:val="000000"/>
          <w:sz w:val="20"/>
          <w:szCs w:val="20"/>
        </w:rPr>
        <w:t>The PAC is inserted percutaneously into a major vein (jugular, subclavian, femoral) via an introducer sheath. The actual venous access techniques are not described here, but the following points are important. Preference considerations for cannulation of the great veins are as follows:</w:t>
      </w:r>
    </w:p>
    <w:p w:rsidR="007F143E" w:rsidRPr="003B7EE1" w:rsidRDefault="007F143E" w:rsidP="003B7EE1">
      <w:pPr>
        <w:pStyle w:val="ListParagraph"/>
        <w:numPr>
          <w:ilvl w:val="0"/>
          <w:numId w:val="36"/>
        </w:numPr>
        <w:shd w:val="clear" w:color="auto" w:fill="FFFFFF"/>
        <w:rPr>
          <w:rFonts w:ascii="Arial" w:hAnsi="Arial" w:cs="Arial"/>
          <w:color w:val="000000"/>
          <w:sz w:val="20"/>
          <w:szCs w:val="20"/>
        </w:rPr>
      </w:pPr>
      <w:r w:rsidRPr="003B7EE1">
        <w:rPr>
          <w:rFonts w:ascii="Arial" w:hAnsi="Arial" w:cs="Arial"/>
          <w:color w:val="000000"/>
          <w:sz w:val="20"/>
          <w:szCs w:val="20"/>
        </w:rPr>
        <w:t>Right internal jugular vein (RIJ) - Shortest and straightest path to the heart</w:t>
      </w:r>
    </w:p>
    <w:p w:rsidR="007F143E" w:rsidRPr="003B7EE1" w:rsidRDefault="007F143E" w:rsidP="003B7EE1">
      <w:pPr>
        <w:pStyle w:val="ListParagraph"/>
        <w:numPr>
          <w:ilvl w:val="0"/>
          <w:numId w:val="36"/>
        </w:numPr>
        <w:shd w:val="clear" w:color="auto" w:fill="FFFFFF"/>
        <w:rPr>
          <w:rFonts w:ascii="Arial" w:hAnsi="Arial" w:cs="Arial"/>
          <w:color w:val="000000"/>
          <w:sz w:val="20"/>
          <w:szCs w:val="20"/>
        </w:rPr>
      </w:pPr>
      <w:r w:rsidRPr="003B7EE1">
        <w:rPr>
          <w:rFonts w:ascii="Arial" w:hAnsi="Arial" w:cs="Arial"/>
          <w:color w:val="000000"/>
          <w:sz w:val="20"/>
          <w:szCs w:val="20"/>
        </w:rPr>
        <w:t>Left subclavian - Does not require the PAC to pass and course at an acute angle to enter the SVC (compared to the right subclavian or left internal jugular [LIJ])</w:t>
      </w:r>
    </w:p>
    <w:p w:rsidR="007F143E" w:rsidRPr="003B7EE1" w:rsidRDefault="007F143E" w:rsidP="003B7EE1">
      <w:pPr>
        <w:pStyle w:val="ListParagraph"/>
        <w:numPr>
          <w:ilvl w:val="0"/>
          <w:numId w:val="36"/>
        </w:numPr>
        <w:shd w:val="clear" w:color="auto" w:fill="FFFFFF"/>
        <w:rPr>
          <w:rFonts w:ascii="Arial" w:hAnsi="Arial" w:cs="Arial"/>
          <w:color w:val="000000"/>
          <w:sz w:val="20"/>
          <w:szCs w:val="20"/>
        </w:rPr>
      </w:pPr>
      <w:r w:rsidRPr="003B7EE1">
        <w:rPr>
          <w:rFonts w:ascii="Arial" w:hAnsi="Arial" w:cs="Arial"/>
          <w:color w:val="000000"/>
          <w:sz w:val="20"/>
          <w:szCs w:val="20"/>
        </w:rPr>
        <w:t>Femoral veins - These access points are distant sites, from which passing a PAC into the heart can be difficult, especially if the right-sided cardiac chambers are enlarged. Often, fluoroscopic assistance is necessary. Nevertheless, these sites are compressible and may be preferable if the risk of hemorrhage is high.</w:t>
      </w:r>
    </w:p>
    <w:p w:rsidR="003B7EE1" w:rsidRDefault="003B7EE1" w:rsidP="007F143E">
      <w:pPr>
        <w:pStyle w:val="NormalWeb"/>
        <w:shd w:val="clear" w:color="auto" w:fill="FFFFFF"/>
        <w:spacing w:before="0" w:beforeAutospacing="0" w:after="180" w:afterAutospacing="0"/>
        <w:rPr>
          <w:rFonts w:ascii="Arial" w:hAnsi="Arial" w:cs="Arial"/>
          <w:color w:val="000000"/>
          <w:sz w:val="20"/>
          <w:szCs w:val="20"/>
        </w:rPr>
      </w:pPr>
    </w:p>
    <w:p w:rsidR="007F143E" w:rsidRDefault="007F143E" w:rsidP="007F143E">
      <w:pPr>
        <w:pStyle w:val="NormalWeb"/>
        <w:shd w:val="clear" w:color="auto" w:fill="FFFFFF"/>
        <w:spacing w:before="0" w:beforeAutospacing="0" w:after="180" w:afterAutospacing="0"/>
        <w:rPr>
          <w:rFonts w:ascii="Arial" w:hAnsi="Arial" w:cs="Arial"/>
          <w:color w:val="000000"/>
          <w:sz w:val="20"/>
          <w:szCs w:val="20"/>
        </w:rPr>
      </w:pPr>
      <w:r>
        <w:rPr>
          <w:rFonts w:ascii="Arial" w:hAnsi="Arial" w:cs="Arial"/>
          <w:color w:val="000000"/>
          <w:sz w:val="20"/>
          <w:szCs w:val="20"/>
        </w:rPr>
        <w:t>As with any catheterization procedure, sterile technique is essential. The total length of a PAC is approximately 150 cm; extra sterile towels around the head, shoulders, and chest ensure that aseptic technique is not compromised.</w:t>
      </w:r>
    </w:p>
    <w:p w:rsidR="007F143E" w:rsidRDefault="007F143E" w:rsidP="007F143E">
      <w:pPr>
        <w:pStyle w:val="NormalWeb"/>
        <w:shd w:val="clear" w:color="auto" w:fill="FFFFFF"/>
        <w:spacing w:before="0" w:beforeAutospacing="0" w:after="180" w:afterAutospacing="0"/>
        <w:rPr>
          <w:rFonts w:ascii="Arial" w:hAnsi="Arial" w:cs="Arial"/>
          <w:color w:val="000000"/>
          <w:sz w:val="20"/>
          <w:szCs w:val="20"/>
        </w:rPr>
      </w:pPr>
      <w:r>
        <w:rPr>
          <w:rFonts w:ascii="Arial" w:hAnsi="Arial" w:cs="Arial"/>
          <w:color w:val="000000"/>
          <w:sz w:val="20"/>
          <w:szCs w:val="20"/>
        </w:rPr>
        <w:lastRenderedPageBreak/>
        <w:t>While the Trendelenburg position is used for venous access (internal jugular [IJ] and subclavian routes), passage of the PAC is easier when the patient subsequently is placed flat or slightly upright.</w:t>
      </w:r>
    </w:p>
    <w:p w:rsidR="007F143E" w:rsidRDefault="007F143E" w:rsidP="007F143E">
      <w:pPr>
        <w:pStyle w:val="NormalWeb"/>
        <w:shd w:val="clear" w:color="auto" w:fill="FFFFFF"/>
        <w:spacing w:before="0" w:beforeAutospacing="0" w:after="180" w:afterAutospacing="0"/>
        <w:rPr>
          <w:rFonts w:ascii="Arial" w:hAnsi="Arial" w:cs="Arial"/>
          <w:color w:val="000000"/>
          <w:sz w:val="20"/>
          <w:szCs w:val="20"/>
        </w:rPr>
      </w:pPr>
      <w:r>
        <w:rPr>
          <w:rFonts w:ascii="Arial" w:hAnsi="Arial" w:cs="Arial"/>
          <w:color w:val="000000"/>
          <w:sz w:val="20"/>
          <w:szCs w:val="20"/>
        </w:rPr>
        <w:t>Before insertion, check the PAC for cracks and kinks. Then, check balloon function (see image below), connect all lumens to stopcocks, and flush them to eliminate air bubbles. Flick the PAC tip to check frequency response. Finally, the PAC is threaded through a sterile sleeve (be sure to check orientation) to ensure sterility of the PAC after insertion and allow some adjustment of position.</w:t>
      </w:r>
    </w:p>
    <w:p w:rsidR="007F143E" w:rsidRPr="007F143E" w:rsidRDefault="007F143E" w:rsidP="003B7EE1">
      <w:pPr>
        <w:pBdr>
          <w:bottom w:val="dotted" w:sz="6" w:space="2" w:color="CBDABC"/>
        </w:pBdr>
        <w:shd w:val="clear" w:color="auto" w:fill="FFFFFF"/>
        <w:spacing w:after="75"/>
        <w:outlineLvl w:val="2"/>
        <w:rPr>
          <w:rFonts w:ascii="Arial" w:eastAsia="Times New Roman" w:hAnsi="Arial" w:cs="Arial"/>
          <w:b/>
          <w:bCs/>
          <w:color w:val="000000"/>
          <w:sz w:val="25"/>
          <w:szCs w:val="25"/>
          <w:lang w:eastAsia="en-GB"/>
        </w:rPr>
      </w:pPr>
      <w:r w:rsidRPr="007F143E">
        <w:rPr>
          <w:rFonts w:ascii="Arial" w:eastAsia="Times New Roman" w:hAnsi="Arial" w:cs="Arial"/>
          <w:b/>
          <w:bCs/>
          <w:color w:val="000000"/>
          <w:sz w:val="25"/>
          <w:szCs w:val="25"/>
          <w:lang w:eastAsia="en-GB"/>
        </w:rPr>
        <w:t>PAC insertion</w:t>
      </w:r>
    </w:p>
    <w:p w:rsidR="007F143E" w:rsidRPr="007F143E" w:rsidRDefault="007F143E" w:rsidP="007F143E">
      <w:pPr>
        <w:shd w:val="clear" w:color="auto" w:fill="FFFFFF"/>
        <w:spacing w:after="180"/>
        <w:rPr>
          <w:rFonts w:ascii="Arial" w:eastAsia="Times New Roman" w:hAnsi="Arial" w:cs="Arial"/>
          <w:color w:val="000000"/>
          <w:sz w:val="20"/>
          <w:szCs w:val="20"/>
          <w:lang w:eastAsia="en-GB"/>
        </w:rPr>
      </w:pPr>
      <w:r w:rsidRPr="007F143E">
        <w:rPr>
          <w:rFonts w:ascii="Arial" w:eastAsia="Times New Roman" w:hAnsi="Arial" w:cs="Arial"/>
          <w:color w:val="000000"/>
          <w:sz w:val="20"/>
          <w:szCs w:val="20"/>
          <w:lang w:eastAsia="en-GB"/>
        </w:rPr>
        <w:t>The PAC is inserted percutaneously into a major vein (jugular, subclavian, femoral) via an introducer sheath. The actual venous access techniques are not described here, but the following points are important. Preference considerations for cannulation of the great veins are as follows:</w:t>
      </w:r>
    </w:p>
    <w:p w:rsidR="007F143E" w:rsidRPr="003B7EE1" w:rsidRDefault="007F143E" w:rsidP="003B7EE1">
      <w:pPr>
        <w:pStyle w:val="ListParagraph"/>
        <w:numPr>
          <w:ilvl w:val="0"/>
          <w:numId w:val="37"/>
        </w:numPr>
        <w:shd w:val="clear" w:color="auto" w:fill="FFFFFF"/>
        <w:rPr>
          <w:rFonts w:ascii="Arial" w:eastAsia="Times New Roman" w:hAnsi="Arial" w:cs="Arial"/>
          <w:color w:val="000000"/>
          <w:sz w:val="20"/>
          <w:szCs w:val="20"/>
          <w:lang w:eastAsia="en-GB"/>
        </w:rPr>
      </w:pPr>
      <w:r w:rsidRPr="003B7EE1">
        <w:rPr>
          <w:rFonts w:ascii="Arial" w:eastAsia="Times New Roman" w:hAnsi="Arial" w:cs="Arial"/>
          <w:color w:val="000000"/>
          <w:sz w:val="20"/>
          <w:szCs w:val="20"/>
          <w:lang w:eastAsia="en-GB"/>
        </w:rPr>
        <w:t>Right internal jugular vein (RIJ) - Shortest and straightest path to the heart</w:t>
      </w:r>
    </w:p>
    <w:p w:rsidR="007F143E" w:rsidRPr="003B7EE1" w:rsidRDefault="007F143E" w:rsidP="003B7EE1">
      <w:pPr>
        <w:pStyle w:val="ListParagraph"/>
        <w:numPr>
          <w:ilvl w:val="0"/>
          <w:numId w:val="37"/>
        </w:numPr>
        <w:shd w:val="clear" w:color="auto" w:fill="FFFFFF"/>
        <w:rPr>
          <w:rFonts w:ascii="Arial" w:eastAsia="Times New Roman" w:hAnsi="Arial" w:cs="Arial"/>
          <w:color w:val="000000"/>
          <w:sz w:val="20"/>
          <w:szCs w:val="20"/>
          <w:lang w:eastAsia="en-GB"/>
        </w:rPr>
      </w:pPr>
      <w:r w:rsidRPr="003B7EE1">
        <w:rPr>
          <w:rFonts w:ascii="Arial" w:eastAsia="Times New Roman" w:hAnsi="Arial" w:cs="Arial"/>
          <w:color w:val="000000"/>
          <w:sz w:val="20"/>
          <w:szCs w:val="20"/>
          <w:lang w:eastAsia="en-GB"/>
        </w:rPr>
        <w:t>Left subclavian - Does not require the PAC to pass and course at an acute angle to enter the SVC (compared to the right subclavian or left internal jugular [LIJ])</w:t>
      </w:r>
    </w:p>
    <w:p w:rsidR="007F143E" w:rsidRPr="003B7EE1" w:rsidRDefault="007F143E" w:rsidP="003B7EE1">
      <w:pPr>
        <w:pStyle w:val="ListParagraph"/>
        <w:numPr>
          <w:ilvl w:val="0"/>
          <w:numId w:val="37"/>
        </w:numPr>
        <w:shd w:val="clear" w:color="auto" w:fill="FFFFFF"/>
        <w:rPr>
          <w:rFonts w:ascii="Arial" w:eastAsia="Times New Roman" w:hAnsi="Arial" w:cs="Arial"/>
          <w:color w:val="000000"/>
          <w:sz w:val="20"/>
          <w:szCs w:val="20"/>
          <w:lang w:eastAsia="en-GB"/>
        </w:rPr>
      </w:pPr>
      <w:r w:rsidRPr="003B7EE1">
        <w:rPr>
          <w:rFonts w:ascii="Arial" w:eastAsia="Times New Roman" w:hAnsi="Arial" w:cs="Arial"/>
          <w:color w:val="000000"/>
          <w:sz w:val="20"/>
          <w:szCs w:val="20"/>
          <w:lang w:eastAsia="en-GB"/>
        </w:rPr>
        <w:t>Femoral veins - These access points are distant sites, from which passing a PAC into the heart can be difficult, especially if the right-sided cardiac chambers are enlarged. Often, fluoroscopic assistance is necessary. Nevertheless, these sites are compressible and may be preferable if the risk of hemorrhage is high.</w:t>
      </w:r>
    </w:p>
    <w:p w:rsidR="003B7EE1" w:rsidRDefault="003B7EE1" w:rsidP="007F143E">
      <w:pPr>
        <w:shd w:val="clear" w:color="auto" w:fill="FFFFFF"/>
        <w:spacing w:after="180"/>
        <w:rPr>
          <w:rFonts w:ascii="Arial" w:eastAsia="Times New Roman" w:hAnsi="Arial" w:cs="Arial"/>
          <w:color w:val="000000"/>
          <w:sz w:val="20"/>
          <w:szCs w:val="20"/>
          <w:lang w:eastAsia="en-GB"/>
        </w:rPr>
      </w:pPr>
    </w:p>
    <w:p w:rsidR="007F143E" w:rsidRPr="007F143E" w:rsidRDefault="007F143E" w:rsidP="007F143E">
      <w:pPr>
        <w:shd w:val="clear" w:color="auto" w:fill="FFFFFF"/>
        <w:spacing w:after="180"/>
        <w:rPr>
          <w:rFonts w:ascii="Arial" w:eastAsia="Times New Roman" w:hAnsi="Arial" w:cs="Arial"/>
          <w:color w:val="000000"/>
          <w:sz w:val="20"/>
          <w:szCs w:val="20"/>
          <w:lang w:eastAsia="en-GB"/>
        </w:rPr>
      </w:pPr>
      <w:r w:rsidRPr="007F143E">
        <w:rPr>
          <w:rFonts w:ascii="Arial" w:eastAsia="Times New Roman" w:hAnsi="Arial" w:cs="Arial"/>
          <w:color w:val="000000"/>
          <w:sz w:val="20"/>
          <w:szCs w:val="20"/>
          <w:lang w:eastAsia="en-GB"/>
        </w:rPr>
        <w:t>As with any catheterization procedure, sterile technique is essential. The total length of a PAC is approximately 150 cm; extra sterile towels around the head, shoulders, and chest ensure that aseptic technique is not compromised.</w:t>
      </w:r>
    </w:p>
    <w:p w:rsidR="007F143E" w:rsidRPr="007F143E" w:rsidRDefault="007F143E" w:rsidP="007F143E">
      <w:pPr>
        <w:shd w:val="clear" w:color="auto" w:fill="FFFFFF"/>
        <w:spacing w:after="180"/>
        <w:rPr>
          <w:rFonts w:ascii="Arial" w:eastAsia="Times New Roman" w:hAnsi="Arial" w:cs="Arial"/>
          <w:color w:val="000000"/>
          <w:sz w:val="20"/>
          <w:szCs w:val="20"/>
          <w:lang w:eastAsia="en-GB"/>
        </w:rPr>
      </w:pPr>
      <w:r w:rsidRPr="007F143E">
        <w:rPr>
          <w:rFonts w:ascii="Arial" w:eastAsia="Times New Roman" w:hAnsi="Arial" w:cs="Arial"/>
          <w:color w:val="000000"/>
          <w:sz w:val="20"/>
          <w:szCs w:val="20"/>
          <w:lang w:eastAsia="en-GB"/>
        </w:rPr>
        <w:t>While the Trendelenburg position is used for venous access (internal jugular [IJ] and subclavian routes), passage of the PAC is easier when the patient subsequently is placed flat or slightly upright.</w:t>
      </w:r>
    </w:p>
    <w:p w:rsidR="007F143E" w:rsidRPr="007F143E" w:rsidRDefault="007F143E" w:rsidP="007F143E">
      <w:pPr>
        <w:shd w:val="clear" w:color="auto" w:fill="FFFFFF"/>
        <w:spacing w:after="180"/>
        <w:rPr>
          <w:rFonts w:ascii="Arial" w:eastAsia="Times New Roman" w:hAnsi="Arial" w:cs="Arial"/>
          <w:color w:val="000000"/>
          <w:sz w:val="20"/>
          <w:szCs w:val="20"/>
          <w:lang w:eastAsia="en-GB"/>
        </w:rPr>
      </w:pPr>
      <w:r w:rsidRPr="007F143E">
        <w:rPr>
          <w:rFonts w:ascii="Arial" w:eastAsia="Times New Roman" w:hAnsi="Arial" w:cs="Arial"/>
          <w:color w:val="000000"/>
          <w:sz w:val="20"/>
          <w:szCs w:val="20"/>
          <w:lang w:eastAsia="en-GB"/>
        </w:rPr>
        <w:t>Before insertion, check the PAC for cracks and kinks. Then, check balloon function (see image below), connect all lumens to stopcocks, and flush them to eliminate air bubbles. Flick the PAC tip to check frequency response. Finally, the PAC is threaded through a sterile sleeve (be sure to check orientation) to ensure sterility of the PAC after insertion and allow some adjustment of position.</w:t>
      </w:r>
    </w:p>
    <w:p w:rsidR="007F143E" w:rsidRPr="007F143E" w:rsidRDefault="007F143E" w:rsidP="007F143E">
      <w:pPr>
        <w:shd w:val="clear" w:color="auto" w:fill="FFFFFF"/>
        <w:spacing w:after="180"/>
        <w:rPr>
          <w:rFonts w:ascii="Arial" w:eastAsia="Times New Roman" w:hAnsi="Arial" w:cs="Arial"/>
          <w:color w:val="000000"/>
          <w:sz w:val="20"/>
          <w:szCs w:val="20"/>
          <w:lang w:eastAsia="en-GB"/>
        </w:rPr>
      </w:pPr>
      <w:bookmarkStart w:id="0" w:name="_GoBack"/>
      <w:bookmarkEnd w:id="0"/>
      <w:r w:rsidRPr="007F143E">
        <w:rPr>
          <w:rFonts w:ascii="Arial" w:eastAsia="Times New Roman" w:hAnsi="Arial" w:cs="Arial"/>
          <w:color w:val="000000"/>
          <w:sz w:val="20"/>
          <w:szCs w:val="20"/>
          <w:lang w:eastAsia="en-GB"/>
        </w:rPr>
        <w:t>The packaging of the PAC causes it to have a preformed curve. This can be used to facilitate passage into the PA. The direction in which the curl is inserted into the introducer depends on which vein is cannulated. For instance, from the head of the bed using the RIJ approach, the curl should be in the direction of the patient's left shoulder (concave-cephalad). Once the PAC is in the RV, a clockwise quarter turn moves the tip anteriorly to allow easier passage into the PA.</w:t>
      </w:r>
    </w:p>
    <w:p w:rsidR="007F143E" w:rsidRPr="007F143E" w:rsidRDefault="007F143E" w:rsidP="007F143E">
      <w:pPr>
        <w:shd w:val="clear" w:color="auto" w:fill="FFFFFF"/>
        <w:spacing w:after="180"/>
        <w:rPr>
          <w:rFonts w:ascii="Arial" w:eastAsia="Times New Roman" w:hAnsi="Arial" w:cs="Arial"/>
          <w:color w:val="000000"/>
          <w:sz w:val="20"/>
          <w:szCs w:val="20"/>
          <w:lang w:eastAsia="en-GB"/>
        </w:rPr>
      </w:pPr>
      <w:r w:rsidRPr="007F143E">
        <w:rPr>
          <w:rFonts w:ascii="Arial" w:eastAsia="Times New Roman" w:hAnsi="Arial" w:cs="Arial"/>
          <w:color w:val="000000"/>
          <w:sz w:val="20"/>
          <w:szCs w:val="20"/>
          <w:lang w:eastAsia="en-GB"/>
        </w:rPr>
        <w:t>After inserting the PAC as far as the 20-cm mark (30-cm mark if the femoral route used), the balloon is inflated with air. Inflation should be slow and controlled (1 mL/s) and should not surpass the recommended volume (usually 1.5 mL). Always inflate the balloon before advancing the PAC, and always deflate the balloon before withdrawing the PAC.</w:t>
      </w:r>
    </w:p>
    <w:p w:rsidR="007F143E" w:rsidRPr="007F143E" w:rsidRDefault="007F143E" w:rsidP="007F143E">
      <w:pPr>
        <w:shd w:val="clear" w:color="auto" w:fill="FFFFFF"/>
        <w:spacing w:after="180"/>
        <w:rPr>
          <w:rFonts w:ascii="Arial" w:eastAsia="Times New Roman" w:hAnsi="Arial" w:cs="Arial"/>
          <w:color w:val="000000"/>
          <w:sz w:val="20"/>
          <w:szCs w:val="20"/>
          <w:lang w:eastAsia="en-GB"/>
        </w:rPr>
      </w:pPr>
      <w:r w:rsidRPr="007F143E">
        <w:rPr>
          <w:rFonts w:ascii="Arial" w:eastAsia="Times New Roman" w:hAnsi="Arial" w:cs="Arial"/>
          <w:color w:val="000000"/>
          <w:sz w:val="20"/>
          <w:szCs w:val="20"/>
          <w:lang w:eastAsia="en-GB"/>
        </w:rPr>
        <w:t>Always use continuous pressure monitoring from the distal lumen. Watch the monitor for changes in the waveform and abnormal cardiac rhythms. From the RIJ approach, the RA is entered at approximately 25 cm, the RV at approximately 30 cm, and the PA at approximately 40 cm; the PCWP can be identified at approximately 45 cm.</w:t>
      </w:r>
    </w:p>
    <w:p w:rsidR="007F143E" w:rsidRPr="007F143E" w:rsidRDefault="007F143E" w:rsidP="007F143E">
      <w:pPr>
        <w:shd w:val="clear" w:color="auto" w:fill="FFFFFF"/>
        <w:spacing w:after="180"/>
        <w:rPr>
          <w:rFonts w:ascii="Arial" w:eastAsia="Times New Roman" w:hAnsi="Arial" w:cs="Arial"/>
          <w:color w:val="000000"/>
          <w:sz w:val="20"/>
          <w:szCs w:val="20"/>
          <w:lang w:eastAsia="en-GB"/>
        </w:rPr>
      </w:pPr>
      <w:r w:rsidRPr="007F143E">
        <w:rPr>
          <w:rFonts w:ascii="Arial" w:eastAsia="Times New Roman" w:hAnsi="Arial" w:cs="Arial"/>
          <w:color w:val="000000"/>
          <w:sz w:val="20"/>
          <w:szCs w:val="20"/>
          <w:lang w:eastAsia="en-GB"/>
        </w:rPr>
        <w:t xml:space="preserve">If an RV waveform still present approximately 20 cm after the initial RV pattern appears, the catheter may be coiling in the RV. If withdrawal is necessary, always proceed slowly to decrease the risk of knotting the catheter upon itself. If the catheter is knotted, fluoroscopy may be necessary to visualize the catheter and remove the knot. As a last resort, slowly withdraw the PAC to the point where it catches on the introducer tip. From this point, the PAC </w:t>
      </w:r>
      <w:r w:rsidRPr="007F143E">
        <w:rPr>
          <w:rFonts w:ascii="Arial" w:eastAsia="Times New Roman" w:hAnsi="Arial" w:cs="Arial"/>
          <w:color w:val="000000"/>
          <w:sz w:val="20"/>
          <w:szCs w:val="20"/>
          <w:lang w:eastAsia="en-GB"/>
        </w:rPr>
        <w:lastRenderedPageBreak/>
        <w:t>and introducer can be removed as one unit. Apply prompt pressure for a minimum of 5 minutes. If bleeding persists, suturing the site may be necessary.</w:t>
      </w:r>
    </w:p>
    <w:p w:rsidR="007F143E" w:rsidRPr="007F143E" w:rsidRDefault="007F143E" w:rsidP="007F143E">
      <w:pPr>
        <w:shd w:val="clear" w:color="auto" w:fill="FFFFFF"/>
        <w:spacing w:after="180"/>
        <w:rPr>
          <w:rFonts w:ascii="Arial" w:eastAsia="Times New Roman" w:hAnsi="Arial" w:cs="Arial"/>
          <w:color w:val="000000"/>
          <w:sz w:val="20"/>
          <w:szCs w:val="20"/>
          <w:lang w:eastAsia="en-GB"/>
        </w:rPr>
      </w:pPr>
      <w:r w:rsidRPr="007F143E">
        <w:rPr>
          <w:rFonts w:ascii="Arial" w:eastAsia="Times New Roman" w:hAnsi="Arial" w:cs="Arial"/>
          <w:color w:val="000000"/>
          <w:sz w:val="20"/>
          <w:szCs w:val="20"/>
          <w:lang w:eastAsia="en-GB"/>
        </w:rPr>
        <w:t>Once the PCWP is obtained and the catheter sleeve secured, make sure the PCWP pattern is reproducible before removing the sterile field. Also, determine the volume of air in the balloon required to obtain a PCWP waveform. Volumes less than half the balloon maximum may indicate that the tip is too far distal. Some clinicians advocate that, after establishing that the PA diastolic pressure is equal to the PCWP pressure, further balloon inflations are unnecessary and the PA diastolic pressure should be used as the parameter to assess left ventricular (LV) filling; this relationship may not hold if the clinical situation changes.</w:t>
      </w:r>
    </w:p>
    <w:p w:rsidR="007F143E" w:rsidRPr="007F143E" w:rsidRDefault="007F143E" w:rsidP="007F143E">
      <w:pPr>
        <w:shd w:val="clear" w:color="auto" w:fill="FFFFFF"/>
        <w:spacing w:after="180"/>
        <w:rPr>
          <w:rFonts w:ascii="Arial" w:eastAsia="Times New Roman" w:hAnsi="Arial" w:cs="Arial"/>
          <w:color w:val="000000"/>
          <w:sz w:val="20"/>
          <w:szCs w:val="20"/>
          <w:lang w:eastAsia="en-GB"/>
        </w:rPr>
      </w:pPr>
      <w:r w:rsidRPr="007F143E">
        <w:rPr>
          <w:rFonts w:ascii="Arial" w:eastAsia="Times New Roman" w:hAnsi="Arial" w:cs="Arial"/>
          <w:color w:val="000000"/>
          <w:sz w:val="20"/>
          <w:szCs w:val="20"/>
          <w:lang w:eastAsia="en-GB"/>
        </w:rPr>
        <w:t>Once the procedure is complete, obtain a chest radiograph to check the position of the PAC and to assess for central venous access complications (eg, pneumothorax).</w:t>
      </w:r>
    </w:p>
    <w:p w:rsidR="009165C2" w:rsidRDefault="009165C2" w:rsidP="009165C2">
      <w:pPr>
        <w:pStyle w:val="Heading2"/>
      </w:pPr>
      <w:r>
        <w:t>Routine intra-arterial pressure measurement</w:t>
      </w:r>
    </w:p>
    <w:p w:rsidR="009165C2" w:rsidRPr="009165C2" w:rsidRDefault="009165C2" w:rsidP="009165C2"/>
    <w:p w:rsidR="009165C2" w:rsidRDefault="009165C2" w:rsidP="009165C2">
      <w:r>
        <w:t>Common arteries to use:</w:t>
      </w:r>
    </w:p>
    <w:p w:rsidR="009165C2" w:rsidRDefault="009165C2" w:rsidP="009165C2"/>
    <w:p w:rsidR="009165C2" w:rsidRDefault="009165C2" w:rsidP="009165C2">
      <w:r>
        <w:t>Radial artery / femoral artery (90% of the time)</w:t>
      </w:r>
    </w:p>
    <w:p w:rsidR="009165C2" w:rsidRDefault="009165C2" w:rsidP="009165C2"/>
    <w:p w:rsidR="009165C2" w:rsidRDefault="009165C2" w:rsidP="009165C2">
      <w:r>
        <w:t>But also …</w:t>
      </w:r>
    </w:p>
    <w:p w:rsidR="009165C2" w:rsidRDefault="009165C2" w:rsidP="009165C2"/>
    <w:p w:rsidR="009165C2" w:rsidRDefault="009165C2" w:rsidP="009165C2">
      <w:r>
        <w:t>Brachial artery</w:t>
      </w:r>
    </w:p>
    <w:p w:rsidR="009165C2" w:rsidRDefault="009165C2" w:rsidP="009165C2">
      <w:r>
        <w:t>Axillary artery</w:t>
      </w:r>
    </w:p>
    <w:p w:rsidR="009165C2" w:rsidRDefault="009165C2" w:rsidP="009165C2">
      <w:r>
        <w:t>Dorsalis pedis artery</w:t>
      </w:r>
    </w:p>
    <w:p w:rsidR="009165C2" w:rsidRDefault="009165C2" w:rsidP="009165C2"/>
    <w:p w:rsidR="009165C2" w:rsidRDefault="009165C2" w:rsidP="009165C2"/>
    <w:p w:rsidR="00E065A3" w:rsidRDefault="00E065A3" w:rsidP="009165C2">
      <w:pPr>
        <w:pStyle w:val="Heading2"/>
      </w:pPr>
      <w:r>
        <w:br w:type="page"/>
      </w:r>
    </w:p>
    <w:p w:rsidR="00E065A3" w:rsidRDefault="00E065A3">
      <w:r>
        <w:lastRenderedPageBreak/>
        <w:br w:type="page"/>
      </w:r>
    </w:p>
    <w:p w:rsidR="00512B22" w:rsidRPr="00512B22" w:rsidRDefault="00512B22" w:rsidP="00512B22"/>
    <w:p w:rsidR="00512B22" w:rsidRDefault="00512B22" w:rsidP="00680D57"/>
    <w:p w:rsidR="004D053A" w:rsidRDefault="004D053A" w:rsidP="00680D57"/>
    <w:p w:rsidR="00680D57" w:rsidRPr="00D72A4B" w:rsidRDefault="00680D57" w:rsidP="0005189E">
      <w:pPr>
        <w:pStyle w:val="ListParagraph"/>
        <w:numPr>
          <w:ilvl w:val="0"/>
          <w:numId w:val="2"/>
        </w:numPr>
      </w:pPr>
      <w:r w:rsidRPr="00D72A4B">
        <w:t>Intra-arterial</w:t>
      </w:r>
    </w:p>
    <w:p w:rsidR="00680D57" w:rsidRPr="00D72A4B" w:rsidRDefault="00680D57" w:rsidP="0005189E">
      <w:pPr>
        <w:pStyle w:val="ListParagraph"/>
        <w:numPr>
          <w:ilvl w:val="0"/>
          <w:numId w:val="2"/>
        </w:numPr>
      </w:pPr>
      <w:r w:rsidRPr="00D72A4B">
        <w:t>Intra-osseous</w:t>
      </w:r>
    </w:p>
    <w:p w:rsidR="00680D57" w:rsidRPr="00D72A4B" w:rsidRDefault="00680D57" w:rsidP="0005189E">
      <w:pPr>
        <w:pStyle w:val="ListParagraph"/>
        <w:numPr>
          <w:ilvl w:val="0"/>
          <w:numId w:val="2"/>
        </w:numPr>
      </w:pPr>
      <w:r w:rsidRPr="00D72A4B">
        <w:t>Portal catheter</w:t>
      </w:r>
    </w:p>
    <w:p w:rsidR="00680D57" w:rsidRPr="00D72A4B" w:rsidRDefault="00680D57" w:rsidP="0005189E">
      <w:pPr>
        <w:pStyle w:val="ListParagraph"/>
        <w:numPr>
          <w:ilvl w:val="0"/>
          <w:numId w:val="2"/>
        </w:numPr>
      </w:pPr>
      <w:r w:rsidRPr="00D72A4B">
        <w:t>Gastric tube</w:t>
      </w:r>
    </w:p>
    <w:p w:rsidR="00680D57" w:rsidRPr="00680D57" w:rsidRDefault="00680D57" w:rsidP="00680D57"/>
    <w:p w:rsidR="00D72A4B" w:rsidRPr="00D72A4B" w:rsidRDefault="00D72A4B" w:rsidP="00D72A4B">
      <w:r w:rsidRPr="00D72A4B">
        <w:t>A description of a line and its placement will include:</w:t>
      </w:r>
    </w:p>
    <w:p w:rsidR="00D72A4B" w:rsidRPr="00D72A4B" w:rsidRDefault="00D72A4B" w:rsidP="0005189E">
      <w:pPr>
        <w:pStyle w:val="ListParagraph"/>
        <w:numPr>
          <w:ilvl w:val="0"/>
          <w:numId w:val="5"/>
        </w:numPr>
      </w:pPr>
      <w:r w:rsidRPr="00D72A4B">
        <w:t xml:space="preserve">The general type of the line </w:t>
      </w:r>
      <w:r w:rsidRPr="00D72A4B">
        <w:rPr>
          <w:i/>
        </w:rPr>
        <w:t>e.g.</w:t>
      </w:r>
      <w:r w:rsidRPr="00D72A4B">
        <w:t xml:space="preserve"> Peripheral IV, Central IV</w:t>
      </w:r>
    </w:p>
    <w:p w:rsidR="00D72A4B" w:rsidRPr="00D72A4B" w:rsidRDefault="00D72A4B" w:rsidP="0005189E">
      <w:pPr>
        <w:pStyle w:val="ListParagraph"/>
        <w:numPr>
          <w:ilvl w:val="0"/>
          <w:numId w:val="5"/>
        </w:numPr>
      </w:pPr>
      <w:r w:rsidRPr="00D72A4B">
        <w:t xml:space="preserve">The physical components of the line </w:t>
      </w:r>
      <w:r w:rsidRPr="00D72A4B">
        <w:rPr>
          <w:i/>
        </w:rPr>
        <w:t xml:space="preserve">e.g. </w:t>
      </w:r>
      <w:r w:rsidRPr="00D72A4B">
        <w:t>cannula, catheter</w:t>
      </w:r>
    </w:p>
    <w:p w:rsidR="00D72A4B" w:rsidRPr="00D72A4B" w:rsidRDefault="00D72A4B" w:rsidP="0005189E">
      <w:pPr>
        <w:pStyle w:val="ListParagraph"/>
        <w:numPr>
          <w:ilvl w:val="0"/>
          <w:numId w:val="5"/>
        </w:numPr>
      </w:pPr>
      <w:r w:rsidRPr="00D72A4B">
        <w:t xml:space="preserve">The technique of line placement </w:t>
      </w:r>
      <w:r w:rsidRPr="00D72A4B">
        <w:rPr>
          <w:i/>
        </w:rPr>
        <w:t xml:space="preserve">e.g. </w:t>
      </w:r>
      <w:r w:rsidRPr="00D72A4B">
        <w:t>ultrasound guidance</w:t>
      </w:r>
    </w:p>
    <w:p w:rsidR="00D72A4B" w:rsidRDefault="00D72A4B" w:rsidP="0005189E">
      <w:pPr>
        <w:pStyle w:val="ListParagraph"/>
        <w:numPr>
          <w:ilvl w:val="0"/>
          <w:numId w:val="5"/>
        </w:numPr>
      </w:pPr>
      <w:r w:rsidRPr="00D72A4B">
        <w:t>Ancillary procedural details such as skin preparation and securing of the line in place</w:t>
      </w:r>
    </w:p>
    <w:p w:rsidR="00F76260" w:rsidRPr="00D72A4B" w:rsidRDefault="00F76260" w:rsidP="0005189E">
      <w:pPr>
        <w:pStyle w:val="ListParagraph"/>
        <w:numPr>
          <w:ilvl w:val="0"/>
          <w:numId w:val="5"/>
        </w:numPr>
      </w:pPr>
    </w:p>
    <w:p w:rsidR="00D72A4B" w:rsidRPr="00D72A4B" w:rsidRDefault="00D72A4B" w:rsidP="00D72A4B">
      <w:r w:rsidRPr="00D72A4B">
        <w:t xml:space="preserve">[Intraosseous access reference: </w:t>
      </w:r>
      <w:hyperlink r:id="rId8" w:history="1">
        <w:r w:rsidRPr="00D72A4B">
          <w:rPr>
            <w:color w:val="0000FF"/>
            <w:u w:val="single"/>
          </w:rPr>
          <w:t>http://reference.medscape.com/article/80431-overview</w:t>
        </w:r>
      </w:hyperlink>
      <w:r w:rsidRPr="00D72A4B">
        <w:t>]</w:t>
      </w:r>
    </w:p>
    <w:p w:rsidR="00D72A4B" w:rsidRPr="00D72A4B" w:rsidRDefault="00D72A4B" w:rsidP="00D72A4B">
      <w:r w:rsidRPr="00D72A4B">
        <w:t xml:space="preserve">All lines are, by definition, parenteral. Strictly speaking, parenteral is the introduction of nutrition, a medication, or other substance into the body via any route other than the mouth but this isn’t very sophisticated. For example, topical administration routes such as the eyes, nose, ears and skin are not parenteral but neither or they via the mouth. A more practical definition might be any way that involves an invasion of the body surface which includes lines but also straightforward subcutaneous and intramuscular injections. </w:t>
      </w:r>
    </w:p>
    <w:p w:rsidR="00D72A4B" w:rsidRPr="00D72A4B" w:rsidRDefault="00D72A4B" w:rsidP="00D72A4B"/>
    <w:p w:rsidR="00D72A4B" w:rsidRPr="00D72A4B" w:rsidRDefault="00D72A4B" w:rsidP="00D72A4B">
      <w:r w:rsidRPr="00D72A4B">
        <w:t>. is defined. It therefore makes sense to organize things so that a line is established and described and then a drug administration is associated with that line. This covers:</w:t>
      </w:r>
    </w:p>
    <w:p w:rsidR="00D72A4B" w:rsidRPr="00D72A4B" w:rsidRDefault="00D72A4B" w:rsidP="0005189E">
      <w:pPr>
        <w:pStyle w:val="ListParagraph"/>
        <w:numPr>
          <w:ilvl w:val="0"/>
          <w:numId w:val="2"/>
        </w:numPr>
      </w:pPr>
      <w:r w:rsidRPr="00D72A4B">
        <w:t>Peripheral IV lines</w:t>
      </w:r>
    </w:p>
    <w:p w:rsidR="00D72A4B" w:rsidRPr="00D72A4B" w:rsidRDefault="00D72A4B" w:rsidP="0005189E">
      <w:pPr>
        <w:pStyle w:val="ListParagraph"/>
        <w:numPr>
          <w:ilvl w:val="0"/>
          <w:numId w:val="2"/>
        </w:numPr>
      </w:pPr>
      <w:r w:rsidRPr="00D72A4B">
        <w:t>Central IV lines</w:t>
      </w:r>
    </w:p>
    <w:p w:rsidR="00D72A4B" w:rsidRPr="00D72A4B" w:rsidRDefault="00D72A4B" w:rsidP="0005189E">
      <w:pPr>
        <w:pStyle w:val="ListParagraph"/>
        <w:numPr>
          <w:ilvl w:val="0"/>
          <w:numId w:val="2"/>
        </w:numPr>
      </w:pPr>
      <w:r w:rsidRPr="00D72A4B">
        <w:t>Intra-arterial lines</w:t>
      </w:r>
    </w:p>
    <w:p w:rsidR="00D72A4B" w:rsidRPr="00D72A4B" w:rsidRDefault="00D72A4B" w:rsidP="0005189E">
      <w:pPr>
        <w:pStyle w:val="ListParagraph"/>
        <w:numPr>
          <w:ilvl w:val="0"/>
          <w:numId w:val="2"/>
        </w:numPr>
      </w:pPr>
      <w:r w:rsidRPr="00D72A4B">
        <w:t>Intra-osseous lines</w:t>
      </w:r>
    </w:p>
    <w:p w:rsidR="00D72A4B" w:rsidRPr="00D72A4B" w:rsidRDefault="00D72A4B" w:rsidP="0005189E">
      <w:pPr>
        <w:pStyle w:val="ListParagraph"/>
        <w:numPr>
          <w:ilvl w:val="0"/>
          <w:numId w:val="2"/>
        </w:numPr>
      </w:pPr>
      <w:r w:rsidRPr="00D72A4B">
        <w:t>Spinals and epidurals</w:t>
      </w:r>
    </w:p>
    <w:p w:rsidR="00D72A4B" w:rsidRPr="00D72A4B" w:rsidRDefault="00D72A4B" w:rsidP="0005189E">
      <w:pPr>
        <w:pStyle w:val="ListParagraph"/>
        <w:numPr>
          <w:ilvl w:val="0"/>
          <w:numId w:val="2"/>
        </w:numPr>
      </w:pPr>
      <w:r w:rsidRPr="00D72A4B">
        <w:t>Portal catheter</w:t>
      </w:r>
    </w:p>
    <w:p w:rsidR="00D72A4B" w:rsidRPr="00D72A4B" w:rsidRDefault="00D72A4B" w:rsidP="0005189E">
      <w:pPr>
        <w:pStyle w:val="ListParagraph"/>
        <w:numPr>
          <w:ilvl w:val="0"/>
          <w:numId w:val="2"/>
        </w:numPr>
      </w:pPr>
      <w:r w:rsidRPr="00D72A4B">
        <w:t>Gastric tube</w:t>
      </w:r>
    </w:p>
    <w:p w:rsidR="00D72A4B" w:rsidRPr="00D72A4B" w:rsidRDefault="00D72A4B" w:rsidP="00D72A4B">
      <w:r w:rsidRPr="00D72A4B">
        <w:t xml:space="preserve">Next we have </w:t>
      </w:r>
      <w:r w:rsidRPr="00D72A4B">
        <w:rPr>
          <w:i/>
        </w:rPr>
        <w:t>ad hoc</w:t>
      </w:r>
      <w:r w:rsidRPr="00D72A4B">
        <w:t xml:space="preserve"> injections and transdermal patches that have some arbitrary anatomical site. These include:</w:t>
      </w:r>
    </w:p>
    <w:p w:rsidR="00D72A4B" w:rsidRPr="00D72A4B" w:rsidRDefault="00D72A4B" w:rsidP="0005189E">
      <w:pPr>
        <w:pStyle w:val="ListParagraph"/>
        <w:numPr>
          <w:ilvl w:val="0"/>
          <w:numId w:val="3"/>
        </w:numPr>
      </w:pPr>
      <w:r w:rsidRPr="00D72A4B">
        <w:t>Subcutaneous</w:t>
      </w:r>
    </w:p>
    <w:p w:rsidR="00D72A4B" w:rsidRPr="00D72A4B" w:rsidRDefault="00D72A4B" w:rsidP="0005189E">
      <w:pPr>
        <w:pStyle w:val="ListParagraph"/>
        <w:numPr>
          <w:ilvl w:val="0"/>
          <w:numId w:val="3"/>
        </w:numPr>
      </w:pPr>
      <w:r w:rsidRPr="00D72A4B">
        <w:t xml:space="preserve">Intramuscular </w:t>
      </w:r>
    </w:p>
    <w:p w:rsidR="00D72A4B" w:rsidRPr="00D72A4B" w:rsidRDefault="00D72A4B" w:rsidP="0005189E">
      <w:pPr>
        <w:pStyle w:val="ListParagraph"/>
        <w:numPr>
          <w:ilvl w:val="0"/>
          <w:numId w:val="3"/>
        </w:numPr>
      </w:pPr>
      <w:r w:rsidRPr="00D72A4B">
        <w:t>Epicutaneous (administration via a needle to the surface of the skin)</w:t>
      </w:r>
    </w:p>
    <w:p w:rsidR="00D72A4B" w:rsidRPr="00D72A4B" w:rsidRDefault="00D72A4B" w:rsidP="0005189E">
      <w:pPr>
        <w:pStyle w:val="ListParagraph"/>
        <w:numPr>
          <w:ilvl w:val="0"/>
          <w:numId w:val="3"/>
        </w:numPr>
      </w:pPr>
      <w:r w:rsidRPr="00D72A4B">
        <w:t>Transdermal (patches)</w:t>
      </w:r>
    </w:p>
    <w:p w:rsidR="00D72A4B" w:rsidRPr="00D72A4B" w:rsidRDefault="00D72A4B" w:rsidP="00D72A4B">
      <w:r w:rsidRPr="00D72A4B">
        <w:t>An epicutaneous injection is classified as a topical route but because it has a definite site, it is grouped with the subcutaneous and intramuscular which are parenteral routes. In the same way, a transdermal patch would be described as topical but also has a site that may need to be recorded.</w:t>
      </w:r>
    </w:p>
    <w:p w:rsidR="00D72A4B" w:rsidRPr="00D72A4B" w:rsidRDefault="00D72A4B" w:rsidP="00D72A4B">
      <w:r w:rsidRPr="00D72A4B">
        <w:t>We’re now left with a number of other options where the anatomical site is implicit viz.</w:t>
      </w:r>
    </w:p>
    <w:p w:rsidR="00D72A4B" w:rsidRPr="00D72A4B" w:rsidRDefault="00D72A4B" w:rsidP="0005189E">
      <w:pPr>
        <w:pStyle w:val="ListParagraph"/>
        <w:numPr>
          <w:ilvl w:val="0"/>
          <w:numId w:val="4"/>
        </w:numPr>
      </w:pPr>
      <w:r w:rsidRPr="00D72A4B">
        <w:t>Ocular (eye)</w:t>
      </w:r>
    </w:p>
    <w:p w:rsidR="00D72A4B" w:rsidRPr="00D72A4B" w:rsidRDefault="00D72A4B" w:rsidP="0005189E">
      <w:pPr>
        <w:pStyle w:val="ListParagraph"/>
        <w:numPr>
          <w:ilvl w:val="0"/>
          <w:numId w:val="4"/>
        </w:numPr>
      </w:pPr>
      <w:r w:rsidRPr="00D72A4B">
        <w:t>Auricular / Otic (ear)</w:t>
      </w:r>
    </w:p>
    <w:p w:rsidR="00D72A4B" w:rsidRPr="00D72A4B" w:rsidRDefault="00D72A4B" w:rsidP="0005189E">
      <w:pPr>
        <w:pStyle w:val="ListParagraph"/>
        <w:numPr>
          <w:ilvl w:val="0"/>
          <w:numId w:val="4"/>
        </w:numPr>
      </w:pPr>
      <w:r w:rsidRPr="00D72A4B">
        <w:t>Nasal</w:t>
      </w:r>
    </w:p>
    <w:p w:rsidR="00D72A4B" w:rsidRPr="00D72A4B" w:rsidRDefault="00D72A4B" w:rsidP="0005189E">
      <w:pPr>
        <w:pStyle w:val="ListParagraph"/>
        <w:numPr>
          <w:ilvl w:val="0"/>
          <w:numId w:val="4"/>
        </w:numPr>
      </w:pPr>
      <w:r w:rsidRPr="00D72A4B">
        <w:t>Buccal</w:t>
      </w:r>
    </w:p>
    <w:p w:rsidR="00D72A4B" w:rsidRPr="00D72A4B" w:rsidRDefault="00D72A4B" w:rsidP="0005189E">
      <w:pPr>
        <w:pStyle w:val="ListParagraph"/>
        <w:numPr>
          <w:ilvl w:val="0"/>
          <w:numId w:val="4"/>
        </w:numPr>
      </w:pPr>
      <w:r w:rsidRPr="00D72A4B">
        <w:t>Rectal</w:t>
      </w:r>
    </w:p>
    <w:p w:rsidR="00D72A4B" w:rsidRPr="00D72A4B" w:rsidRDefault="00D72A4B" w:rsidP="0005189E">
      <w:pPr>
        <w:pStyle w:val="ListParagraph"/>
        <w:numPr>
          <w:ilvl w:val="0"/>
          <w:numId w:val="4"/>
        </w:numPr>
      </w:pPr>
      <w:r w:rsidRPr="00D72A4B">
        <w:t>Vaginal</w:t>
      </w:r>
    </w:p>
    <w:p w:rsidR="00D72A4B" w:rsidRPr="00D72A4B" w:rsidRDefault="00D72A4B" w:rsidP="00D72A4B">
      <w:r w:rsidRPr="00D72A4B">
        <w:t xml:space="preserve">The FDA and other sources define more, and more detailed, routes e.g. Conjunctival (which is a sub-class of Ocular) and Extra-Amniotic (administration to the outside of the membrane </w:t>
      </w:r>
      <w:r w:rsidRPr="00D72A4B">
        <w:lastRenderedPageBreak/>
        <w:t>enveloping the fetus). However, we would be in danger of totally overloading the average user if all of these were included so they are not included. Users have the option to annotate a drug administration of they wish to capture some of these more esoteric methods and should be encouraged to come back to us with feedback if they think they should be incorporated as standard options.</w:t>
      </w:r>
    </w:p>
    <w:p w:rsidR="00D72A4B" w:rsidRDefault="00D72A4B">
      <w:r>
        <w:br w:type="page"/>
      </w:r>
    </w:p>
    <w:tbl>
      <w:tblPr>
        <w:tblStyle w:val="TableGrid"/>
        <w:tblW w:w="9322" w:type="dxa"/>
        <w:tblLook w:val="04A0" w:firstRow="1" w:lastRow="0" w:firstColumn="1" w:lastColumn="0" w:noHBand="0" w:noVBand="1"/>
      </w:tblPr>
      <w:tblGrid>
        <w:gridCol w:w="2199"/>
        <w:gridCol w:w="1507"/>
        <w:gridCol w:w="5616"/>
      </w:tblGrid>
      <w:tr w:rsidR="0013203D" w:rsidTr="0013203D">
        <w:tc>
          <w:tcPr>
            <w:tcW w:w="2199" w:type="dxa"/>
          </w:tcPr>
          <w:p w:rsidR="0013203D" w:rsidRDefault="0013203D" w:rsidP="0013203D">
            <w:pPr>
              <w:ind w:left="0"/>
              <w:jc w:val="left"/>
            </w:pPr>
            <w:r>
              <w:lastRenderedPageBreak/>
              <w:t>Route</w:t>
            </w:r>
          </w:p>
        </w:tc>
        <w:tc>
          <w:tcPr>
            <w:tcW w:w="1507" w:type="dxa"/>
          </w:tcPr>
          <w:p w:rsidR="0013203D" w:rsidRDefault="0013203D" w:rsidP="0013203D">
            <w:pPr>
              <w:ind w:left="0"/>
              <w:jc w:val="left"/>
            </w:pPr>
            <w:r>
              <w:t>Class of route</w:t>
            </w:r>
          </w:p>
        </w:tc>
        <w:tc>
          <w:tcPr>
            <w:tcW w:w="5616" w:type="dxa"/>
          </w:tcPr>
          <w:p w:rsidR="0013203D" w:rsidRDefault="0013203D" w:rsidP="0013203D">
            <w:pPr>
              <w:ind w:left="0"/>
              <w:jc w:val="left"/>
            </w:pPr>
            <w:r>
              <w:t>Note</w:t>
            </w:r>
          </w:p>
        </w:tc>
      </w:tr>
      <w:tr w:rsidR="0026614F" w:rsidTr="0013203D">
        <w:tc>
          <w:tcPr>
            <w:tcW w:w="2199" w:type="dxa"/>
          </w:tcPr>
          <w:p w:rsidR="0013203D" w:rsidRDefault="0013203D" w:rsidP="0013203D">
            <w:pPr>
              <w:ind w:left="0"/>
            </w:pPr>
            <w:r>
              <w:t>Cutaneous</w:t>
            </w:r>
          </w:p>
        </w:tc>
        <w:tc>
          <w:tcPr>
            <w:tcW w:w="1507" w:type="dxa"/>
          </w:tcPr>
          <w:p w:rsidR="0013203D" w:rsidRDefault="0013203D" w:rsidP="0013203D">
            <w:pPr>
              <w:ind w:left="0"/>
            </w:pPr>
          </w:p>
        </w:tc>
        <w:tc>
          <w:tcPr>
            <w:tcW w:w="5616" w:type="dxa"/>
          </w:tcPr>
          <w:p w:rsidR="0013203D" w:rsidRDefault="0013203D" w:rsidP="0013203D">
            <w:pPr>
              <w:ind w:left="0"/>
            </w:pPr>
          </w:p>
        </w:tc>
      </w:tr>
      <w:tr w:rsidR="0026614F" w:rsidTr="0013203D">
        <w:tc>
          <w:tcPr>
            <w:tcW w:w="2199" w:type="dxa"/>
          </w:tcPr>
          <w:p w:rsidR="0013203D" w:rsidRDefault="0013203D" w:rsidP="0013203D">
            <w:pPr>
              <w:ind w:left="0"/>
            </w:pPr>
            <w:r>
              <w:tab/>
              <w:t>E</w:t>
            </w:r>
            <w:r w:rsidRPr="00D72A4B">
              <w:t>picutaneous</w:t>
            </w:r>
          </w:p>
        </w:tc>
        <w:tc>
          <w:tcPr>
            <w:tcW w:w="1507" w:type="dxa"/>
          </w:tcPr>
          <w:p w:rsidR="0013203D" w:rsidRDefault="0013203D" w:rsidP="0013203D">
            <w:pPr>
              <w:ind w:left="0"/>
            </w:pPr>
            <w:r>
              <w:t>Topical</w:t>
            </w:r>
          </w:p>
        </w:tc>
        <w:tc>
          <w:tcPr>
            <w:tcW w:w="5616" w:type="dxa"/>
          </w:tcPr>
          <w:p w:rsidR="0013203D" w:rsidRDefault="0013203D" w:rsidP="0013203D">
            <w:pPr>
              <w:ind w:left="0"/>
            </w:pPr>
            <w:r>
              <w:rPr>
                <w:rFonts w:ascii="Arial" w:hAnsi="Arial" w:cs="Arial"/>
                <w:color w:val="000000"/>
                <w:sz w:val="20"/>
                <w:szCs w:val="20"/>
              </w:rPr>
              <w:t>Application onto the skin). It can be used both for local effect as in allergy testing and typical</w:t>
            </w:r>
            <w:r>
              <w:rPr>
                <w:rStyle w:val="apple-converted-space"/>
                <w:rFonts w:ascii="Arial" w:hAnsi="Arial" w:cs="Arial"/>
                <w:color w:val="000000"/>
                <w:sz w:val="20"/>
                <w:szCs w:val="20"/>
              </w:rPr>
              <w:t> </w:t>
            </w:r>
            <w:hyperlink r:id="rId9" w:tooltip="Local anesthesia" w:history="1">
              <w:r>
                <w:rPr>
                  <w:rStyle w:val="Hyperlink"/>
                  <w:rFonts w:ascii="Arial" w:hAnsi="Arial" w:cs="Arial"/>
                  <w:color w:val="0B0080"/>
                  <w:sz w:val="20"/>
                  <w:szCs w:val="20"/>
                </w:rPr>
                <w:t>local anesthesia</w:t>
              </w:r>
            </w:hyperlink>
            <w:r>
              <w:rPr>
                <w:rFonts w:ascii="Arial" w:hAnsi="Arial" w:cs="Arial"/>
                <w:color w:val="000000"/>
                <w:sz w:val="20"/>
                <w:szCs w:val="20"/>
              </w:rPr>
              <w:t>, as well as</w:t>
            </w:r>
            <w:r>
              <w:rPr>
                <w:rStyle w:val="apple-converted-space"/>
                <w:rFonts w:ascii="Arial" w:hAnsi="Arial" w:cs="Arial"/>
                <w:color w:val="000000"/>
                <w:sz w:val="20"/>
                <w:szCs w:val="20"/>
              </w:rPr>
              <w:t> </w:t>
            </w:r>
            <w:hyperlink r:id="rId10" w:tooltip="wikt:systemic" w:history="1">
              <w:r>
                <w:rPr>
                  <w:rStyle w:val="Hyperlink"/>
                  <w:rFonts w:ascii="Arial" w:hAnsi="Arial" w:cs="Arial"/>
                  <w:color w:val="663366"/>
                  <w:sz w:val="20"/>
                  <w:szCs w:val="20"/>
                </w:rPr>
                <w:t>systemic</w:t>
              </w:r>
            </w:hyperlink>
            <w:r>
              <w:rPr>
                <w:rStyle w:val="apple-converted-space"/>
                <w:rFonts w:ascii="Arial" w:hAnsi="Arial" w:cs="Arial"/>
                <w:color w:val="000000"/>
                <w:sz w:val="20"/>
                <w:szCs w:val="20"/>
              </w:rPr>
              <w:t> </w:t>
            </w:r>
            <w:r>
              <w:rPr>
                <w:rFonts w:ascii="Arial" w:hAnsi="Arial" w:cs="Arial"/>
                <w:color w:val="000000"/>
                <w:sz w:val="20"/>
                <w:szCs w:val="20"/>
              </w:rPr>
              <w:t>effects when the active substance diffuses through skin in a</w:t>
            </w:r>
            <w:r>
              <w:rPr>
                <w:rStyle w:val="apple-converted-space"/>
                <w:rFonts w:ascii="Arial" w:hAnsi="Arial" w:cs="Arial"/>
                <w:color w:val="000000"/>
                <w:sz w:val="20"/>
                <w:szCs w:val="20"/>
              </w:rPr>
              <w:t> </w:t>
            </w:r>
            <w:hyperlink r:id="rId11" w:tooltip="Transdermal" w:history="1">
              <w:r>
                <w:rPr>
                  <w:rStyle w:val="Hyperlink"/>
                  <w:rFonts w:ascii="Arial" w:hAnsi="Arial" w:cs="Arial"/>
                  <w:color w:val="0B0080"/>
                  <w:sz w:val="20"/>
                  <w:szCs w:val="20"/>
                </w:rPr>
                <w:t>transdermal</w:t>
              </w:r>
            </w:hyperlink>
            <w:r>
              <w:rPr>
                <w:rStyle w:val="apple-converted-space"/>
                <w:rFonts w:ascii="Arial" w:hAnsi="Arial" w:cs="Arial"/>
                <w:color w:val="000000"/>
                <w:sz w:val="20"/>
                <w:szCs w:val="20"/>
              </w:rPr>
              <w:t> </w:t>
            </w:r>
            <w:r>
              <w:rPr>
                <w:rFonts w:ascii="Arial" w:hAnsi="Arial" w:cs="Arial"/>
                <w:color w:val="000000"/>
                <w:sz w:val="20"/>
                <w:szCs w:val="20"/>
              </w:rPr>
              <w:t>route</w:t>
            </w:r>
          </w:p>
        </w:tc>
      </w:tr>
      <w:tr w:rsidR="0026614F" w:rsidTr="0013203D">
        <w:tc>
          <w:tcPr>
            <w:tcW w:w="2199" w:type="dxa"/>
          </w:tcPr>
          <w:p w:rsidR="0013203D" w:rsidRDefault="0013203D" w:rsidP="0013203D">
            <w:pPr>
              <w:ind w:left="0"/>
            </w:pPr>
            <w:r>
              <w:tab/>
              <w:t>Intradermal</w:t>
            </w:r>
          </w:p>
        </w:tc>
        <w:tc>
          <w:tcPr>
            <w:tcW w:w="1507" w:type="dxa"/>
          </w:tcPr>
          <w:p w:rsidR="0013203D" w:rsidRDefault="0013203D" w:rsidP="0013203D">
            <w:pPr>
              <w:ind w:left="0"/>
            </w:pPr>
            <w:r>
              <w:t>Topical</w:t>
            </w:r>
          </w:p>
        </w:tc>
        <w:tc>
          <w:tcPr>
            <w:tcW w:w="5616" w:type="dxa"/>
          </w:tcPr>
          <w:p w:rsidR="0013203D" w:rsidRDefault="0013203D" w:rsidP="0013203D">
            <w:pPr>
              <w:ind w:left="0"/>
            </w:pPr>
            <w:r>
              <w:rPr>
                <w:rFonts w:ascii="Arial" w:hAnsi="Arial" w:cs="Arial"/>
                <w:color w:val="000000"/>
                <w:sz w:val="20"/>
                <w:szCs w:val="20"/>
              </w:rPr>
              <w:t>Into the skin itself</w:t>
            </w:r>
          </w:p>
        </w:tc>
      </w:tr>
      <w:tr w:rsidR="0026614F" w:rsidTr="0013203D">
        <w:tc>
          <w:tcPr>
            <w:tcW w:w="2199" w:type="dxa"/>
          </w:tcPr>
          <w:p w:rsidR="0013203D" w:rsidRDefault="0013203D" w:rsidP="0013203D">
            <w:pPr>
              <w:ind w:left="0"/>
            </w:pPr>
            <w:r>
              <w:tab/>
              <w:t>S</w:t>
            </w:r>
            <w:r w:rsidRPr="0013203D">
              <w:t>ubcutaneous</w:t>
            </w:r>
          </w:p>
        </w:tc>
        <w:tc>
          <w:tcPr>
            <w:tcW w:w="1507" w:type="dxa"/>
          </w:tcPr>
          <w:p w:rsidR="0013203D" w:rsidRDefault="0013203D" w:rsidP="0013203D">
            <w:pPr>
              <w:ind w:left="0"/>
            </w:pPr>
            <w:r>
              <w:t>Parenteral</w:t>
            </w:r>
          </w:p>
        </w:tc>
        <w:tc>
          <w:tcPr>
            <w:tcW w:w="5616" w:type="dxa"/>
          </w:tcPr>
          <w:p w:rsidR="0013203D" w:rsidRDefault="0013203D" w:rsidP="0013203D">
            <w:pPr>
              <w:ind w:left="0"/>
            </w:pPr>
            <w:r>
              <w:t>Under the skin</w:t>
            </w:r>
          </w:p>
        </w:tc>
      </w:tr>
      <w:tr w:rsidR="0013203D" w:rsidTr="0013203D">
        <w:tc>
          <w:tcPr>
            <w:tcW w:w="2199" w:type="dxa"/>
          </w:tcPr>
          <w:p w:rsidR="0013203D" w:rsidRDefault="0013203D" w:rsidP="0013203D">
            <w:pPr>
              <w:ind w:left="0"/>
            </w:pPr>
            <w:r>
              <w:t>Nasal</w:t>
            </w:r>
          </w:p>
        </w:tc>
        <w:tc>
          <w:tcPr>
            <w:tcW w:w="1507" w:type="dxa"/>
          </w:tcPr>
          <w:p w:rsidR="0013203D" w:rsidRDefault="0013203D" w:rsidP="0013203D">
            <w:pPr>
              <w:ind w:left="0"/>
            </w:pPr>
          </w:p>
        </w:tc>
        <w:tc>
          <w:tcPr>
            <w:tcW w:w="5616" w:type="dxa"/>
          </w:tcPr>
          <w:p w:rsidR="0013203D" w:rsidRDefault="0013203D" w:rsidP="0013203D">
            <w:pPr>
              <w:ind w:left="0"/>
            </w:pPr>
            <w:r>
              <w:t>Through the nose</w:t>
            </w:r>
          </w:p>
        </w:tc>
      </w:tr>
      <w:tr w:rsidR="0013203D" w:rsidTr="0013203D">
        <w:tc>
          <w:tcPr>
            <w:tcW w:w="2199" w:type="dxa"/>
          </w:tcPr>
          <w:p w:rsidR="0013203D" w:rsidRDefault="0013203D" w:rsidP="0013203D">
            <w:pPr>
              <w:ind w:left="0"/>
            </w:pPr>
            <w:r>
              <w:t>Intravenous</w:t>
            </w:r>
          </w:p>
        </w:tc>
        <w:tc>
          <w:tcPr>
            <w:tcW w:w="1507" w:type="dxa"/>
          </w:tcPr>
          <w:p w:rsidR="0013203D" w:rsidRDefault="0013203D" w:rsidP="0013203D">
            <w:pPr>
              <w:ind w:left="0"/>
            </w:pPr>
            <w:r>
              <w:t>Parenteral</w:t>
            </w:r>
          </w:p>
        </w:tc>
        <w:tc>
          <w:tcPr>
            <w:tcW w:w="5616" w:type="dxa"/>
          </w:tcPr>
          <w:p w:rsidR="0013203D" w:rsidRDefault="0013203D" w:rsidP="0013203D">
            <w:pPr>
              <w:ind w:left="0"/>
            </w:pPr>
            <w:r>
              <w:t>Into a vein</w:t>
            </w:r>
          </w:p>
        </w:tc>
      </w:tr>
      <w:tr w:rsidR="0013203D" w:rsidTr="0013203D">
        <w:tc>
          <w:tcPr>
            <w:tcW w:w="2199" w:type="dxa"/>
          </w:tcPr>
          <w:p w:rsidR="0013203D" w:rsidRDefault="0013203D" w:rsidP="0013203D">
            <w:pPr>
              <w:ind w:left="0"/>
            </w:pPr>
            <w:r>
              <w:t>Intraarterial</w:t>
            </w:r>
          </w:p>
        </w:tc>
        <w:tc>
          <w:tcPr>
            <w:tcW w:w="1507" w:type="dxa"/>
          </w:tcPr>
          <w:p w:rsidR="0013203D" w:rsidRDefault="0013203D" w:rsidP="0013203D">
            <w:pPr>
              <w:ind w:left="0"/>
            </w:pPr>
          </w:p>
        </w:tc>
        <w:tc>
          <w:tcPr>
            <w:tcW w:w="5616" w:type="dxa"/>
          </w:tcPr>
          <w:p w:rsidR="0013203D" w:rsidRDefault="0013203D" w:rsidP="0013203D">
            <w:pPr>
              <w:ind w:left="0"/>
            </w:pPr>
            <w:r>
              <w:t>Into an artery</w:t>
            </w:r>
          </w:p>
        </w:tc>
      </w:tr>
      <w:tr w:rsidR="0013203D" w:rsidTr="0013203D">
        <w:tc>
          <w:tcPr>
            <w:tcW w:w="2199" w:type="dxa"/>
          </w:tcPr>
          <w:p w:rsidR="0013203D" w:rsidRDefault="0013203D" w:rsidP="0013203D">
            <w:pPr>
              <w:ind w:left="0"/>
            </w:pPr>
            <w:r>
              <w:t>Intramuscular</w:t>
            </w:r>
          </w:p>
        </w:tc>
        <w:tc>
          <w:tcPr>
            <w:tcW w:w="1507" w:type="dxa"/>
          </w:tcPr>
          <w:p w:rsidR="0013203D" w:rsidRDefault="0013203D" w:rsidP="0013203D">
            <w:pPr>
              <w:ind w:left="0"/>
            </w:pPr>
          </w:p>
        </w:tc>
        <w:tc>
          <w:tcPr>
            <w:tcW w:w="5616" w:type="dxa"/>
          </w:tcPr>
          <w:p w:rsidR="0013203D" w:rsidRDefault="0013203D" w:rsidP="0013203D">
            <w:pPr>
              <w:ind w:left="0"/>
            </w:pPr>
            <w:r>
              <w:t>Into a muscle</w:t>
            </w:r>
          </w:p>
        </w:tc>
      </w:tr>
      <w:tr w:rsidR="0013203D" w:rsidTr="0013203D">
        <w:tc>
          <w:tcPr>
            <w:tcW w:w="2199" w:type="dxa"/>
          </w:tcPr>
          <w:p w:rsidR="0013203D" w:rsidRDefault="0013203D" w:rsidP="0013203D">
            <w:pPr>
              <w:ind w:left="0"/>
            </w:pPr>
            <w:r>
              <w:t>Intracardiac</w:t>
            </w:r>
          </w:p>
        </w:tc>
        <w:tc>
          <w:tcPr>
            <w:tcW w:w="1507" w:type="dxa"/>
          </w:tcPr>
          <w:p w:rsidR="0013203D" w:rsidRDefault="0013203D" w:rsidP="0013203D">
            <w:pPr>
              <w:ind w:left="0"/>
            </w:pPr>
          </w:p>
        </w:tc>
        <w:tc>
          <w:tcPr>
            <w:tcW w:w="5616" w:type="dxa"/>
          </w:tcPr>
          <w:p w:rsidR="0013203D" w:rsidRDefault="0013203D" w:rsidP="0013203D">
            <w:pPr>
              <w:ind w:left="0"/>
            </w:pPr>
            <w:r>
              <w:t>Into the heart</w:t>
            </w:r>
          </w:p>
        </w:tc>
      </w:tr>
      <w:tr w:rsidR="0013203D" w:rsidTr="0013203D">
        <w:tc>
          <w:tcPr>
            <w:tcW w:w="2199" w:type="dxa"/>
          </w:tcPr>
          <w:p w:rsidR="0013203D" w:rsidRDefault="0013203D" w:rsidP="0013203D">
            <w:pPr>
              <w:ind w:left="0"/>
            </w:pPr>
            <w:r>
              <w:t>Intraosseous</w:t>
            </w:r>
          </w:p>
        </w:tc>
        <w:tc>
          <w:tcPr>
            <w:tcW w:w="1507" w:type="dxa"/>
          </w:tcPr>
          <w:p w:rsidR="0013203D" w:rsidRDefault="0013203D" w:rsidP="0013203D">
            <w:pPr>
              <w:ind w:left="0"/>
            </w:pPr>
          </w:p>
        </w:tc>
        <w:tc>
          <w:tcPr>
            <w:tcW w:w="5616" w:type="dxa"/>
          </w:tcPr>
          <w:p w:rsidR="0013203D" w:rsidRDefault="0013203D" w:rsidP="0013203D">
            <w:pPr>
              <w:ind w:left="0"/>
            </w:pPr>
            <w:r>
              <w:t>Into a bone</w:t>
            </w:r>
          </w:p>
        </w:tc>
      </w:tr>
      <w:tr w:rsidR="0013203D" w:rsidTr="0013203D">
        <w:tc>
          <w:tcPr>
            <w:tcW w:w="2199" w:type="dxa"/>
          </w:tcPr>
          <w:p w:rsidR="0013203D" w:rsidRDefault="0013203D" w:rsidP="0026614F">
            <w:pPr>
              <w:ind w:left="0"/>
            </w:pPr>
            <w:r>
              <w:t>Intra</w:t>
            </w:r>
            <w:r w:rsidR="0026614F">
              <w:t>thecal</w:t>
            </w:r>
          </w:p>
        </w:tc>
        <w:tc>
          <w:tcPr>
            <w:tcW w:w="1507" w:type="dxa"/>
          </w:tcPr>
          <w:p w:rsidR="0013203D" w:rsidRDefault="0013203D" w:rsidP="0013203D">
            <w:pPr>
              <w:ind w:left="0"/>
            </w:pPr>
          </w:p>
        </w:tc>
        <w:tc>
          <w:tcPr>
            <w:tcW w:w="5616" w:type="dxa"/>
          </w:tcPr>
          <w:p w:rsidR="0013203D" w:rsidRDefault="0013203D" w:rsidP="0026614F">
            <w:pPr>
              <w:ind w:left="0"/>
            </w:pPr>
            <w:r>
              <w:t xml:space="preserve">Into </w:t>
            </w:r>
            <w:r w:rsidR="0026614F">
              <w:t>the spinal canal (subarachnoid)</w:t>
            </w:r>
          </w:p>
        </w:tc>
      </w:tr>
      <w:tr w:rsidR="0013203D" w:rsidTr="0013203D">
        <w:tc>
          <w:tcPr>
            <w:tcW w:w="2199" w:type="dxa"/>
          </w:tcPr>
          <w:p w:rsidR="0013203D" w:rsidRDefault="0013203D" w:rsidP="0026614F">
            <w:pPr>
              <w:ind w:left="0"/>
            </w:pPr>
            <w:r>
              <w:t>Intra</w:t>
            </w:r>
            <w:r w:rsidR="0026614F">
              <w:t>peritoneal</w:t>
            </w:r>
          </w:p>
        </w:tc>
        <w:tc>
          <w:tcPr>
            <w:tcW w:w="1507" w:type="dxa"/>
          </w:tcPr>
          <w:p w:rsidR="0013203D" w:rsidRDefault="0013203D" w:rsidP="0013203D">
            <w:pPr>
              <w:ind w:left="0"/>
            </w:pPr>
          </w:p>
        </w:tc>
        <w:tc>
          <w:tcPr>
            <w:tcW w:w="5616" w:type="dxa"/>
          </w:tcPr>
          <w:p w:rsidR="0013203D" w:rsidRDefault="0026614F" w:rsidP="0013203D">
            <w:pPr>
              <w:ind w:left="0"/>
            </w:pPr>
            <w:r>
              <w:t>I</w:t>
            </w:r>
            <w:r w:rsidRPr="0026614F">
              <w:t>nfusion or injection into the peritoneum</w:t>
            </w:r>
          </w:p>
        </w:tc>
      </w:tr>
      <w:tr w:rsidR="0026614F" w:rsidTr="00680D57">
        <w:tc>
          <w:tcPr>
            <w:tcW w:w="2199" w:type="dxa"/>
          </w:tcPr>
          <w:p w:rsidR="0026614F" w:rsidRDefault="0026614F" w:rsidP="0026614F">
            <w:pPr>
              <w:ind w:left="0"/>
            </w:pPr>
            <w:r w:rsidRPr="0026614F">
              <w:t xml:space="preserve">Intravesical </w:t>
            </w:r>
          </w:p>
        </w:tc>
        <w:tc>
          <w:tcPr>
            <w:tcW w:w="1507" w:type="dxa"/>
          </w:tcPr>
          <w:p w:rsidR="0026614F" w:rsidRDefault="0026614F" w:rsidP="00680D57">
            <w:pPr>
              <w:ind w:left="0"/>
            </w:pPr>
          </w:p>
        </w:tc>
        <w:tc>
          <w:tcPr>
            <w:tcW w:w="5616" w:type="dxa"/>
          </w:tcPr>
          <w:p w:rsidR="0026614F" w:rsidRDefault="0026614F" w:rsidP="00680D57">
            <w:pPr>
              <w:ind w:left="0"/>
            </w:pPr>
            <w:r>
              <w:t>I</w:t>
            </w:r>
            <w:r w:rsidRPr="0026614F">
              <w:t>nfusion is into the urinary bladde</w:t>
            </w:r>
            <w:r w:rsidR="006620D1">
              <w:t>r</w:t>
            </w:r>
          </w:p>
        </w:tc>
      </w:tr>
      <w:tr w:rsidR="0026614F" w:rsidTr="00680D57">
        <w:tc>
          <w:tcPr>
            <w:tcW w:w="2199" w:type="dxa"/>
          </w:tcPr>
          <w:p w:rsidR="0026614F" w:rsidRDefault="0026614F" w:rsidP="0026614F">
            <w:pPr>
              <w:ind w:left="0"/>
            </w:pPr>
            <w:r>
              <w:t>Intravitreal</w:t>
            </w:r>
          </w:p>
        </w:tc>
        <w:tc>
          <w:tcPr>
            <w:tcW w:w="1507" w:type="dxa"/>
          </w:tcPr>
          <w:p w:rsidR="0026614F" w:rsidRDefault="0026614F" w:rsidP="00680D57">
            <w:pPr>
              <w:ind w:left="0"/>
            </w:pPr>
          </w:p>
        </w:tc>
        <w:tc>
          <w:tcPr>
            <w:tcW w:w="5616" w:type="dxa"/>
          </w:tcPr>
          <w:p w:rsidR="0026614F" w:rsidRDefault="0026614F" w:rsidP="0026614F">
            <w:pPr>
              <w:ind w:left="0"/>
            </w:pPr>
            <w:r>
              <w:t>Into the eye</w:t>
            </w:r>
          </w:p>
        </w:tc>
      </w:tr>
      <w:tr w:rsidR="0026614F" w:rsidTr="00680D57">
        <w:tc>
          <w:tcPr>
            <w:tcW w:w="2199" w:type="dxa"/>
          </w:tcPr>
          <w:p w:rsidR="0026614F" w:rsidRDefault="0026614F" w:rsidP="00680D57">
            <w:pPr>
              <w:ind w:left="0"/>
            </w:pPr>
            <w:r>
              <w:t>Intracavernous</w:t>
            </w:r>
          </w:p>
        </w:tc>
        <w:tc>
          <w:tcPr>
            <w:tcW w:w="1507" w:type="dxa"/>
          </w:tcPr>
          <w:p w:rsidR="0026614F" w:rsidRDefault="0026614F" w:rsidP="00680D57">
            <w:pPr>
              <w:ind w:left="0"/>
            </w:pPr>
          </w:p>
        </w:tc>
        <w:tc>
          <w:tcPr>
            <w:tcW w:w="5616" w:type="dxa"/>
          </w:tcPr>
          <w:p w:rsidR="0026614F" w:rsidRDefault="0026614F" w:rsidP="00680D57">
            <w:pPr>
              <w:ind w:left="0"/>
            </w:pPr>
            <w:r>
              <w:t>An injection into the base of the penis</w:t>
            </w:r>
          </w:p>
        </w:tc>
      </w:tr>
      <w:tr w:rsidR="0026614F" w:rsidTr="00680D57">
        <w:tc>
          <w:tcPr>
            <w:tcW w:w="2199" w:type="dxa"/>
          </w:tcPr>
          <w:p w:rsidR="0026614F" w:rsidRDefault="0026614F" w:rsidP="00680D57">
            <w:pPr>
              <w:ind w:left="0"/>
            </w:pPr>
            <w:r>
              <w:t>Intravaginal</w:t>
            </w:r>
          </w:p>
        </w:tc>
        <w:tc>
          <w:tcPr>
            <w:tcW w:w="1507" w:type="dxa"/>
          </w:tcPr>
          <w:p w:rsidR="0026614F" w:rsidRDefault="0026614F" w:rsidP="00680D57">
            <w:pPr>
              <w:ind w:left="0"/>
            </w:pPr>
          </w:p>
        </w:tc>
        <w:tc>
          <w:tcPr>
            <w:tcW w:w="5616" w:type="dxa"/>
          </w:tcPr>
          <w:p w:rsidR="0026614F" w:rsidRDefault="0026614F" w:rsidP="0026614F">
            <w:pPr>
              <w:ind w:left="0"/>
            </w:pPr>
            <w:r>
              <w:t>Into the vagina</w:t>
            </w:r>
          </w:p>
        </w:tc>
      </w:tr>
      <w:tr w:rsidR="0026614F" w:rsidTr="00680D57">
        <w:tc>
          <w:tcPr>
            <w:tcW w:w="2199" w:type="dxa"/>
          </w:tcPr>
          <w:p w:rsidR="0026614F" w:rsidRDefault="0026614F" w:rsidP="00680D57">
            <w:pPr>
              <w:ind w:left="0"/>
            </w:pPr>
            <w:r>
              <w:t>Intravenous</w:t>
            </w:r>
          </w:p>
        </w:tc>
        <w:tc>
          <w:tcPr>
            <w:tcW w:w="1507" w:type="dxa"/>
          </w:tcPr>
          <w:p w:rsidR="0026614F" w:rsidRDefault="0026614F" w:rsidP="00680D57">
            <w:pPr>
              <w:ind w:left="0"/>
            </w:pPr>
          </w:p>
        </w:tc>
        <w:tc>
          <w:tcPr>
            <w:tcW w:w="5616" w:type="dxa"/>
          </w:tcPr>
          <w:p w:rsidR="0026614F" w:rsidRDefault="0026614F" w:rsidP="00680D57">
            <w:pPr>
              <w:ind w:left="0"/>
            </w:pPr>
            <w:r>
              <w:t>Into a vein</w:t>
            </w:r>
          </w:p>
        </w:tc>
      </w:tr>
      <w:tr w:rsidR="0026614F" w:rsidTr="00680D57">
        <w:tc>
          <w:tcPr>
            <w:tcW w:w="2199" w:type="dxa"/>
          </w:tcPr>
          <w:p w:rsidR="0026614F" w:rsidRDefault="0026614F" w:rsidP="00680D57">
            <w:pPr>
              <w:ind w:left="0"/>
            </w:pPr>
            <w:r>
              <w:t>Intravenous</w:t>
            </w:r>
          </w:p>
        </w:tc>
        <w:tc>
          <w:tcPr>
            <w:tcW w:w="1507" w:type="dxa"/>
          </w:tcPr>
          <w:p w:rsidR="0026614F" w:rsidRDefault="0026614F" w:rsidP="00680D57">
            <w:pPr>
              <w:ind w:left="0"/>
            </w:pPr>
          </w:p>
        </w:tc>
        <w:tc>
          <w:tcPr>
            <w:tcW w:w="5616" w:type="dxa"/>
          </w:tcPr>
          <w:p w:rsidR="0026614F" w:rsidRDefault="0026614F" w:rsidP="00680D57">
            <w:pPr>
              <w:ind w:left="0"/>
            </w:pPr>
            <w:r>
              <w:t>Into a vein</w:t>
            </w:r>
          </w:p>
        </w:tc>
      </w:tr>
      <w:tr w:rsidR="0013203D" w:rsidTr="0013203D">
        <w:tc>
          <w:tcPr>
            <w:tcW w:w="2199" w:type="dxa"/>
          </w:tcPr>
          <w:p w:rsidR="0013203D" w:rsidRDefault="0013203D" w:rsidP="0013203D">
            <w:pPr>
              <w:ind w:left="0"/>
            </w:pPr>
            <w:r>
              <w:t>Intravenous</w:t>
            </w:r>
          </w:p>
        </w:tc>
        <w:tc>
          <w:tcPr>
            <w:tcW w:w="1507" w:type="dxa"/>
          </w:tcPr>
          <w:p w:rsidR="0013203D" w:rsidRDefault="0013203D" w:rsidP="0013203D">
            <w:pPr>
              <w:ind w:left="0"/>
            </w:pPr>
          </w:p>
        </w:tc>
        <w:tc>
          <w:tcPr>
            <w:tcW w:w="5616" w:type="dxa"/>
          </w:tcPr>
          <w:p w:rsidR="0013203D" w:rsidRDefault="0013203D" w:rsidP="0013203D">
            <w:pPr>
              <w:ind w:left="0"/>
            </w:pPr>
            <w:r>
              <w:t>Into a vein</w:t>
            </w:r>
          </w:p>
        </w:tc>
      </w:tr>
      <w:tr w:rsidR="0026614F" w:rsidTr="00680D57">
        <w:tc>
          <w:tcPr>
            <w:tcW w:w="2199" w:type="dxa"/>
          </w:tcPr>
          <w:p w:rsidR="0026614F" w:rsidRDefault="0026614F" w:rsidP="0026614F">
            <w:pPr>
              <w:ind w:left="0"/>
            </w:pPr>
            <w:r>
              <w:t>Intrauterine</w:t>
            </w:r>
          </w:p>
        </w:tc>
        <w:tc>
          <w:tcPr>
            <w:tcW w:w="1507" w:type="dxa"/>
          </w:tcPr>
          <w:p w:rsidR="0026614F" w:rsidRDefault="0026614F" w:rsidP="00680D57"/>
        </w:tc>
        <w:tc>
          <w:tcPr>
            <w:tcW w:w="5616" w:type="dxa"/>
          </w:tcPr>
          <w:p w:rsidR="0026614F" w:rsidRDefault="0026614F" w:rsidP="00680D57"/>
        </w:tc>
      </w:tr>
      <w:tr w:rsidR="0026614F" w:rsidTr="00680D57">
        <w:tc>
          <w:tcPr>
            <w:tcW w:w="2199" w:type="dxa"/>
          </w:tcPr>
          <w:p w:rsidR="0026614F" w:rsidRDefault="0026614F" w:rsidP="0026614F">
            <w:pPr>
              <w:ind w:left="0"/>
            </w:pPr>
            <w:r>
              <w:tab/>
              <w:t>Extraamniotic</w:t>
            </w:r>
          </w:p>
        </w:tc>
        <w:tc>
          <w:tcPr>
            <w:tcW w:w="1507" w:type="dxa"/>
          </w:tcPr>
          <w:p w:rsidR="0026614F" w:rsidRDefault="0026614F" w:rsidP="00680D57"/>
        </w:tc>
        <w:tc>
          <w:tcPr>
            <w:tcW w:w="5616" w:type="dxa"/>
          </w:tcPr>
          <w:p w:rsidR="0026614F" w:rsidRDefault="0026614F" w:rsidP="0026614F">
            <w:pPr>
              <w:ind w:left="0"/>
            </w:pPr>
            <w:r>
              <w:t>B</w:t>
            </w:r>
            <w:r w:rsidRPr="0026614F">
              <w:t>etween the endometrium and fetal membranes</w:t>
            </w:r>
          </w:p>
        </w:tc>
      </w:tr>
      <w:tr w:rsidR="0026614F" w:rsidTr="00680D57">
        <w:tc>
          <w:tcPr>
            <w:tcW w:w="2199" w:type="dxa"/>
          </w:tcPr>
          <w:p w:rsidR="0026614F" w:rsidRDefault="0026614F" w:rsidP="0026614F">
            <w:pPr>
              <w:ind w:left="0"/>
            </w:pPr>
            <w:r>
              <w:t>Transdermal</w:t>
            </w:r>
          </w:p>
        </w:tc>
        <w:tc>
          <w:tcPr>
            <w:tcW w:w="1507" w:type="dxa"/>
          </w:tcPr>
          <w:p w:rsidR="0026614F" w:rsidRDefault="0026614F" w:rsidP="00680D57"/>
        </w:tc>
        <w:tc>
          <w:tcPr>
            <w:tcW w:w="5616" w:type="dxa"/>
          </w:tcPr>
          <w:p w:rsidR="0026614F" w:rsidRDefault="0026614F" w:rsidP="0026614F">
            <w:pPr>
              <w:ind w:left="0"/>
            </w:pPr>
            <w:r>
              <w:t>D</w:t>
            </w:r>
            <w:r w:rsidRPr="0026614F">
              <w:t>iffusion through the intact skin for systemic rather than topical distribution</w:t>
            </w:r>
          </w:p>
        </w:tc>
      </w:tr>
      <w:tr w:rsidR="0026614F" w:rsidTr="0013203D">
        <w:tc>
          <w:tcPr>
            <w:tcW w:w="2199" w:type="dxa"/>
          </w:tcPr>
          <w:p w:rsidR="0026614F" w:rsidRDefault="0026614F" w:rsidP="0026614F">
            <w:pPr>
              <w:ind w:left="0"/>
            </w:pPr>
            <w:r>
              <w:t>Transmucosal</w:t>
            </w:r>
          </w:p>
        </w:tc>
        <w:tc>
          <w:tcPr>
            <w:tcW w:w="1507" w:type="dxa"/>
          </w:tcPr>
          <w:p w:rsidR="0026614F" w:rsidRDefault="0026614F" w:rsidP="0013203D"/>
        </w:tc>
        <w:tc>
          <w:tcPr>
            <w:tcW w:w="5616" w:type="dxa"/>
          </w:tcPr>
          <w:p w:rsidR="0026614F" w:rsidRDefault="0026614F" w:rsidP="0026614F">
            <w:pPr>
              <w:ind w:left="0"/>
            </w:pPr>
            <w:r w:rsidRPr="0026614F">
              <w:t>diffusion through a mucous membrane</w:t>
            </w:r>
            <w:r>
              <w:t>, sublingual, vaginal suppositories</w:t>
            </w:r>
          </w:p>
        </w:tc>
      </w:tr>
    </w:tbl>
    <w:p w:rsidR="0026614F" w:rsidRDefault="0026614F" w:rsidP="0026614F">
      <w:r>
        <w:t xml:space="preserve">injection, </w:t>
      </w:r>
    </w:p>
    <w:p w:rsidR="0026614F" w:rsidRDefault="0026614F" w:rsidP="0026614F">
      <w:r>
        <w:t>l administration, in the vagina</w:t>
      </w:r>
    </w:p>
    <w:p w:rsidR="0013203D" w:rsidRDefault="0026614F" w:rsidP="0026614F">
      <w:r>
        <w:t>Intrauterine</w:t>
      </w:r>
    </w:p>
    <w:p w:rsidR="00D72A4B" w:rsidRDefault="0013203D" w:rsidP="00D72A4B">
      <w:r>
        <w:t xml:space="preserve"> [Topical]</w:t>
      </w:r>
    </w:p>
    <w:p w:rsidR="00D72A4B" w:rsidRDefault="00D72A4B" w:rsidP="00D72A4B">
      <w:r>
        <w:t>l</w:t>
      </w:r>
      <w:r w:rsidR="0013203D">
        <w:t xml:space="preserve"> </w:t>
      </w:r>
    </w:p>
    <w:p w:rsidR="00D72A4B" w:rsidRDefault="00D72A4B" w:rsidP="00D72A4B">
      <w:r>
        <w:t>Subcutaneous</w:t>
      </w:r>
    </w:p>
    <w:p w:rsidR="00D72A4B" w:rsidRDefault="00D72A4B" w:rsidP="00D72A4B"/>
    <w:p w:rsidR="00D72A4B" w:rsidRPr="00D72A4B" w:rsidRDefault="00D72A4B" w:rsidP="00D72A4B"/>
    <w:p w:rsidR="00D72A4B" w:rsidRDefault="00D72A4B"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r>
        <w:rPr>
          <w:rFonts w:ascii="Arial" w:hAnsi="Arial" w:cs="Arial"/>
          <w:color w:val="000000"/>
          <w:sz w:val="20"/>
          <w:szCs w:val="20"/>
        </w:rPr>
        <w:t>epicutaneous or topical.</w:t>
      </w:r>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12" w:tooltip="Intradermal" w:history="1">
        <w:r w:rsidR="00D72A4B">
          <w:rPr>
            <w:rStyle w:val="Hyperlink"/>
            <w:rFonts w:ascii="Arial" w:hAnsi="Arial" w:cs="Arial"/>
            <w:color w:val="0B0080"/>
            <w:sz w:val="20"/>
            <w:szCs w:val="20"/>
          </w:rPr>
          <w:t>intradermal</w:t>
        </w:r>
      </w:hyperlink>
      <w:r w:rsidR="00D72A4B">
        <w:rPr>
          <w:rFonts w:ascii="Arial" w:hAnsi="Arial" w:cs="Arial"/>
          <w:color w:val="000000"/>
          <w:sz w:val="20"/>
          <w:szCs w:val="20"/>
        </w:rPr>
        <w:t>, () is used for</w:t>
      </w:r>
      <w:r w:rsidR="00D72A4B">
        <w:rPr>
          <w:rStyle w:val="apple-converted-space"/>
          <w:rFonts w:ascii="Arial" w:hAnsi="Arial" w:cs="Arial"/>
          <w:color w:val="000000"/>
          <w:sz w:val="20"/>
          <w:szCs w:val="20"/>
        </w:rPr>
        <w:t> </w:t>
      </w:r>
      <w:hyperlink r:id="rId13" w:tooltip="Skin testing (page does not exist)" w:history="1">
        <w:r w:rsidR="00D72A4B">
          <w:rPr>
            <w:rStyle w:val="Hyperlink"/>
            <w:rFonts w:ascii="Arial" w:hAnsi="Arial" w:cs="Arial"/>
            <w:color w:val="A55858"/>
            <w:sz w:val="20"/>
            <w:szCs w:val="20"/>
          </w:rPr>
          <w:t>skin testing</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some</w:t>
      </w:r>
      <w:r w:rsidR="00D72A4B">
        <w:rPr>
          <w:rStyle w:val="apple-converted-space"/>
          <w:rFonts w:ascii="Arial" w:hAnsi="Arial" w:cs="Arial"/>
          <w:color w:val="000000"/>
          <w:sz w:val="20"/>
          <w:szCs w:val="20"/>
        </w:rPr>
        <w:t> </w:t>
      </w:r>
      <w:hyperlink r:id="rId14" w:tooltip="Allergens" w:history="1">
        <w:r w:rsidR="00D72A4B">
          <w:rPr>
            <w:rStyle w:val="Hyperlink"/>
            <w:rFonts w:ascii="Arial" w:hAnsi="Arial" w:cs="Arial"/>
            <w:color w:val="0B0080"/>
            <w:sz w:val="20"/>
            <w:szCs w:val="20"/>
          </w:rPr>
          <w:t>allergens</w:t>
        </w:r>
      </w:hyperlink>
      <w:r w:rsidR="00D72A4B">
        <w:rPr>
          <w:rFonts w:ascii="Arial" w:hAnsi="Arial" w:cs="Arial"/>
          <w:color w:val="000000"/>
          <w:sz w:val="20"/>
          <w:szCs w:val="20"/>
        </w:rPr>
        <w:t>, and also for</w:t>
      </w:r>
      <w:r w:rsidR="00D72A4B">
        <w:rPr>
          <w:rStyle w:val="apple-converted-space"/>
          <w:rFonts w:ascii="Arial" w:hAnsi="Arial" w:cs="Arial"/>
          <w:color w:val="000000"/>
          <w:sz w:val="20"/>
          <w:szCs w:val="20"/>
        </w:rPr>
        <w:t> </w:t>
      </w:r>
      <w:hyperlink r:id="rId15" w:tooltip="Mantoux test" w:history="1">
        <w:r w:rsidR="00D72A4B">
          <w:rPr>
            <w:rStyle w:val="Hyperlink"/>
            <w:rFonts w:ascii="Arial" w:hAnsi="Arial" w:cs="Arial"/>
            <w:color w:val="0B0080"/>
            <w:sz w:val="20"/>
            <w:szCs w:val="20"/>
          </w:rPr>
          <w:t>mantoux test</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for Tuberculosis</w:t>
      </w:r>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16" w:tooltip="Subcutaneous administration" w:history="1">
        <w:r w:rsidR="00D72A4B">
          <w:rPr>
            <w:rStyle w:val="Hyperlink"/>
            <w:rFonts w:ascii="Arial" w:hAnsi="Arial" w:cs="Arial"/>
            <w:color w:val="0B0080"/>
            <w:sz w:val="20"/>
            <w:szCs w:val="20"/>
          </w:rPr>
          <w:t>subcutaneous</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(under the skin), e.g.</w:t>
      </w:r>
      <w:r w:rsidR="00D72A4B">
        <w:rPr>
          <w:rStyle w:val="apple-converted-space"/>
          <w:rFonts w:ascii="Arial" w:hAnsi="Arial" w:cs="Arial"/>
          <w:color w:val="000000"/>
          <w:sz w:val="20"/>
          <w:szCs w:val="20"/>
        </w:rPr>
        <w:t> </w:t>
      </w:r>
      <w:hyperlink r:id="rId17" w:tooltip="Insulin" w:history="1">
        <w:r w:rsidR="00D72A4B">
          <w:rPr>
            <w:rStyle w:val="Hyperlink"/>
            <w:rFonts w:ascii="Arial" w:hAnsi="Arial" w:cs="Arial"/>
            <w:color w:val="0B0080"/>
            <w:sz w:val="20"/>
            <w:szCs w:val="20"/>
          </w:rPr>
          <w:t>insulin</w:t>
        </w:r>
      </w:hyperlink>
      <w:r w:rsidR="00D72A4B">
        <w:rPr>
          <w:rFonts w:ascii="Arial" w:hAnsi="Arial" w:cs="Arial"/>
          <w:color w:val="000000"/>
          <w:sz w:val="20"/>
          <w:szCs w:val="20"/>
        </w:rPr>
        <w:t>.</w:t>
      </w:r>
      <w:r w:rsidR="00D72A4B">
        <w:rPr>
          <w:rStyle w:val="apple-converted-space"/>
          <w:rFonts w:ascii="Arial" w:hAnsi="Arial" w:cs="Arial"/>
          <w:color w:val="000000"/>
          <w:sz w:val="20"/>
          <w:szCs w:val="20"/>
        </w:rPr>
        <w:t> </w:t>
      </w:r>
      <w:hyperlink r:id="rId18" w:tooltip="Skin popping" w:history="1">
        <w:r w:rsidR="00D72A4B">
          <w:rPr>
            <w:rStyle w:val="Hyperlink"/>
            <w:rFonts w:ascii="Arial" w:hAnsi="Arial" w:cs="Arial"/>
            <w:color w:val="0B0080"/>
            <w:sz w:val="20"/>
            <w:szCs w:val="20"/>
          </w:rPr>
          <w:t>Skin popping</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is a slang term that includes this method of administration, and is usually used in association with</w:t>
      </w:r>
      <w:r w:rsidR="00D72A4B">
        <w:rPr>
          <w:rStyle w:val="apple-converted-space"/>
          <w:rFonts w:ascii="Arial" w:hAnsi="Arial" w:cs="Arial"/>
          <w:color w:val="000000"/>
          <w:sz w:val="20"/>
          <w:szCs w:val="20"/>
        </w:rPr>
        <w:t> </w:t>
      </w:r>
      <w:hyperlink r:id="rId19" w:tooltip="Recreational drugs" w:history="1">
        <w:r w:rsidR="00D72A4B">
          <w:rPr>
            <w:rStyle w:val="Hyperlink"/>
            <w:rFonts w:ascii="Arial" w:hAnsi="Arial" w:cs="Arial"/>
            <w:color w:val="0B0080"/>
            <w:sz w:val="20"/>
            <w:szCs w:val="20"/>
          </w:rPr>
          <w:t>recreational drugs</w:t>
        </w:r>
      </w:hyperlink>
      <w:r w:rsidR="00D72A4B">
        <w:rPr>
          <w:rFonts w:ascii="Arial" w:hAnsi="Arial" w:cs="Arial"/>
          <w:color w:val="000000"/>
          <w:sz w:val="20"/>
          <w:szCs w:val="20"/>
        </w:rPr>
        <w:t>.</w:t>
      </w:r>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20" w:tooltip="Human nose" w:history="1">
        <w:r w:rsidR="00D72A4B">
          <w:rPr>
            <w:rStyle w:val="Hyperlink"/>
            <w:rFonts w:ascii="Arial" w:hAnsi="Arial" w:cs="Arial"/>
            <w:color w:val="0B0080"/>
            <w:sz w:val="20"/>
            <w:szCs w:val="20"/>
          </w:rPr>
          <w:t>nasal</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administration (through the nose) can be used for topically acting substances, as well as for</w:t>
      </w:r>
      <w:r w:rsidR="00D72A4B">
        <w:rPr>
          <w:rStyle w:val="apple-converted-space"/>
          <w:rFonts w:ascii="Arial" w:hAnsi="Arial" w:cs="Arial"/>
          <w:color w:val="000000"/>
          <w:sz w:val="20"/>
          <w:szCs w:val="20"/>
        </w:rPr>
        <w:t> </w:t>
      </w:r>
      <w:hyperlink r:id="rId21" w:tooltip="Insufflation (medicine)" w:history="1">
        <w:r w:rsidR="00D72A4B">
          <w:rPr>
            <w:rStyle w:val="Hyperlink"/>
            <w:rFonts w:ascii="Arial" w:hAnsi="Arial" w:cs="Arial"/>
            <w:color w:val="0B0080"/>
            <w:sz w:val="20"/>
            <w:szCs w:val="20"/>
          </w:rPr>
          <w:t>insufflation</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of e.g.</w:t>
      </w:r>
      <w:r w:rsidR="00D72A4B">
        <w:rPr>
          <w:rStyle w:val="apple-converted-space"/>
          <w:rFonts w:ascii="Arial" w:hAnsi="Arial" w:cs="Arial"/>
          <w:color w:val="000000"/>
          <w:sz w:val="20"/>
          <w:szCs w:val="20"/>
        </w:rPr>
        <w:t> </w:t>
      </w:r>
      <w:hyperlink r:id="rId22" w:tooltip="Decongestant" w:history="1">
        <w:r w:rsidR="00D72A4B">
          <w:rPr>
            <w:rStyle w:val="Hyperlink"/>
            <w:rFonts w:ascii="Arial" w:hAnsi="Arial" w:cs="Arial"/>
            <w:color w:val="0B0080"/>
            <w:sz w:val="20"/>
            <w:szCs w:val="20"/>
          </w:rPr>
          <w:t>decongestant</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nasal sprays to be taken up along the</w:t>
      </w:r>
      <w:r w:rsidR="00D72A4B">
        <w:rPr>
          <w:rStyle w:val="apple-converted-space"/>
          <w:rFonts w:ascii="Arial" w:hAnsi="Arial" w:cs="Arial"/>
          <w:color w:val="000000"/>
          <w:sz w:val="20"/>
          <w:szCs w:val="20"/>
        </w:rPr>
        <w:t> </w:t>
      </w:r>
      <w:hyperlink r:id="rId23" w:tooltip="Respiratory tract" w:history="1">
        <w:r w:rsidR="00D72A4B">
          <w:rPr>
            <w:rStyle w:val="Hyperlink"/>
            <w:rFonts w:ascii="Arial" w:hAnsi="Arial" w:cs="Arial"/>
            <w:color w:val="0B0080"/>
            <w:sz w:val="20"/>
            <w:szCs w:val="20"/>
          </w:rPr>
          <w:t>respiratory tract</w:t>
        </w:r>
      </w:hyperlink>
      <w:r w:rsidR="00D72A4B">
        <w:rPr>
          <w:rFonts w:ascii="Arial" w:hAnsi="Arial" w:cs="Arial"/>
          <w:color w:val="000000"/>
          <w:sz w:val="20"/>
          <w:szCs w:val="20"/>
        </w:rPr>
        <w:t>. Such substances are also called</w:t>
      </w:r>
      <w:r w:rsidR="00D72A4B">
        <w:rPr>
          <w:rStyle w:val="apple-converted-space"/>
          <w:rFonts w:ascii="Arial" w:hAnsi="Arial" w:cs="Arial"/>
          <w:color w:val="000000"/>
          <w:sz w:val="20"/>
          <w:szCs w:val="20"/>
        </w:rPr>
        <w:t> </w:t>
      </w:r>
      <w:r w:rsidR="00D72A4B">
        <w:rPr>
          <w:rFonts w:ascii="Arial" w:hAnsi="Arial" w:cs="Arial"/>
          <w:i/>
          <w:iCs/>
          <w:color w:val="000000"/>
          <w:sz w:val="20"/>
          <w:szCs w:val="20"/>
        </w:rPr>
        <w:t>inhalational</w:t>
      </w:r>
      <w:r w:rsidR="00D72A4B">
        <w:rPr>
          <w:rFonts w:ascii="Arial" w:hAnsi="Arial" w:cs="Arial"/>
          <w:color w:val="000000"/>
          <w:sz w:val="20"/>
          <w:szCs w:val="20"/>
        </w:rPr>
        <w:t>, e.g.</w:t>
      </w:r>
      <w:r w:rsidR="00D72A4B">
        <w:rPr>
          <w:rStyle w:val="apple-converted-space"/>
          <w:rFonts w:ascii="Arial" w:hAnsi="Arial" w:cs="Arial"/>
          <w:color w:val="000000"/>
          <w:sz w:val="20"/>
          <w:szCs w:val="20"/>
        </w:rPr>
        <w:t> </w:t>
      </w:r>
      <w:hyperlink r:id="rId24" w:tooltip="Inhalational anesthetics" w:history="1">
        <w:r w:rsidR="00D72A4B">
          <w:rPr>
            <w:rStyle w:val="Hyperlink"/>
            <w:rFonts w:ascii="Arial" w:hAnsi="Arial" w:cs="Arial"/>
            <w:color w:val="0B0080"/>
            <w:sz w:val="20"/>
            <w:szCs w:val="20"/>
          </w:rPr>
          <w:t>inhalational anesthetics</w:t>
        </w:r>
      </w:hyperlink>
      <w:r w:rsidR="00D72A4B">
        <w:rPr>
          <w:rFonts w:ascii="Arial" w:hAnsi="Arial" w:cs="Arial"/>
          <w:color w:val="000000"/>
          <w:sz w:val="20"/>
          <w:szCs w:val="20"/>
        </w:rPr>
        <w:t>.</w:t>
      </w:r>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25" w:tooltip="Intravenous therapy" w:history="1">
        <w:r w:rsidR="00D72A4B">
          <w:rPr>
            <w:rStyle w:val="Hyperlink"/>
            <w:rFonts w:ascii="Arial" w:hAnsi="Arial" w:cs="Arial"/>
            <w:color w:val="0B0080"/>
            <w:sz w:val="20"/>
            <w:szCs w:val="20"/>
          </w:rPr>
          <w:t>intravenous</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(into a</w:t>
      </w:r>
      <w:r w:rsidR="00D72A4B">
        <w:rPr>
          <w:rStyle w:val="apple-converted-space"/>
          <w:rFonts w:ascii="Arial" w:hAnsi="Arial" w:cs="Arial"/>
          <w:color w:val="000000"/>
          <w:sz w:val="20"/>
          <w:szCs w:val="20"/>
        </w:rPr>
        <w:t> </w:t>
      </w:r>
      <w:hyperlink r:id="rId26" w:tooltip="Vein" w:history="1">
        <w:r w:rsidR="00D72A4B">
          <w:rPr>
            <w:rStyle w:val="Hyperlink"/>
            <w:rFonts w:ascii="Arial" w:hAnsi="Arial" w:cs="Arial"/>
            <w:color w:val="0B0080"/>
            <w:sz w:val="20"/>
            <w:szCs w:val="20"/>
          </w:rPr>
          <w:t>vein</w:t>
        </w:r>
      </w:hyperlink>
      <w:r w:rsidR="00D72A4B">
        <w:rPr>
          <w:rFonts w:ascii="Arial" w:hAnsi="Arial" w:cs="Arial"/>
          <w:color w:val="000000"/>
          <w:sz w:val="20"/>
          <w:szCs w:val="20"/>
        </w:rPr>
        <w:t>), e.g. many drugs,</w:t>
      </w:r>
      <w:r w:rsidR="00D72A4B">
        <w:rPr>
          <w:rStyle w:val="apple-converted-space"/>
          <w:rFonts w:ascii="Arial" w:hAnsi="Arial" w:cs="Arial"/>
          <w:color w:val="000000"/>
          <w:sz w:val="20"/>
          <w:szCs w:val="20"/>
        </w:rPr>
        <w:t> </w:t>
      </w:r>
      <w:hyperlink r:id="rId27" w:tooltip="Parenteral nutrition" w:history="1">
        <w:r w:rsidR="00D72A4B">
          <w:rPr>
            <w:rStyle w:val="Hyperlink"/>
            <w:rFonts w:ascii="Arial" w:hAnsi="Arial" w:cs="Arial"/>
            <w:color w:val="0B0080"/>
            <w:sz w:val="20"/>
            <w:szCs w:val="20"/>
          </w:rPr>
          <w:t>total parenteral nutrition</w:t>
        </w:r>
      </w:hyperlink>
    </w:p>
    <w:p w:rsidR="00D72A4B" w:rsidRDefault="00D72A4B"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r>
        <w:rPr>
          <w:rFonts w:ascii="Arial" w:hAnsi="Arial" w:cs="Arial"/>
          <w:color w:val="000000"/>
          <w:sz w:val="20"/>
          <w:szCs w:val="20"/>
        </w:rPr>
        <w:t>intraarterial (into an</w:t>
      </w:r>
      <w:r>
        <w:rPr>
          <w:rStyle w:val="apple-converted-space"/>
          <w:rFonts w:ascii="Arial" w:hAnsi="Arial" w:cs="Arial"/>
          <w:color w:val="000000"/>
          <w:sz w:val="20"/>
          <w:szCs w:val="20"/>
        </w:rPr>
        <w:t> </w:t>
      </w:r>
      <w:hyperlink r:id="rId28" w:tooltip="Artery" w:history="1">
        <w:r>
          <w:rPr>
            <w:rStyle w:val="Hyperlink"/>
            <w:rFonts w:ascii="Arial" w:hAnsi="Arial" w:cs="Arial"/>
            <w:color w:val="0B0080"/>
            <w:sz w:val="20"/>
            <w:szCs w:val="20"/>
          </w:rPr>
          <w:t>artery</w:t>
        </w:r>
      </w:hyperlink>
      <w:r>
        <w:rPr>
          <w:rFonts w:ascii="Arial" w:hAnsi="Arial" w:cs="Arial"/>
          <w:color w:val="000000"/>
          <w:sz w:val="20"/>
          <w:szCs w:val="20"/>
        </w:rPr>
        <w:t>), e.g.</w:t>
      </w:r>
      <w:r>
        <w:rPr>
          <w:rStyle w:val="apple-converted-space"/>
          <w:rFonts w:ascii="Arial" w:hAnsi="Arial" w:cs="Arial"/>
          <w:color w:val="000000"/>
          <w:sz w:val="20"/>
          <w:szCs w:val="20"/>
        </w:rPr>
        <w:t> </w:t>
      </w:r>
      <w:hyperlink r:id="rId29" w:tooltip="Vasodilator" w:history="1">
        <w:r>
          <w:rPr>
            <w:rStyle w:val="Hyperlink"/>
            <w:rFonts w:ascii="Arial" w:hAnsi="Arial" w:cs="Arial"/>
            <w:color w:val="0B0080"/>
            <w:sz w:val="20"/>
            <w:szCs w:val="20"/>
          </w:rPr>
          <w:t>vasodilator</w:t>
        </w:r>
      </w:hyperlink>
      <w:r>
        <w:rPr>
          <w:rStyle w:val="apple-converted-space"/>
          <w:rFonts w:ascii="Arial" w:hAnsi="Arial" w:cs="Arial"/>
          <w:color w:val="000000"/>
          <w:sz w:val="20"/>
          <w:szCs w:val="20"/>
        </w:rPr>
        <w:t> </w:t>
      </w:r>
      <w:r>
        <w:rPr>
          <w:rFonts w:ascii="Arial" w:hAnsi="Arial" w:cs="Arial"/>
          <w:color w:val="000000"/>
          <w:sz w:val="20"/>
          <w:szCs w:val="20"/>
        </w:rPr>
        <w:t>drugs in the treatment of</w:t>
      </w:r>
      <w:r>
        <w:rPr>
          <w:rStyle w:val="apple-converted-space"/>
          <w:rFonts w:ascii="Arial" w:hAnsi="Arial" w:cs="Arial"/>
          <w:color w:val="000000"/>
          <w:sz w:val="20"/>
          <w:szCs w:val="20"/>
        </w:rPr>
        <w:t> </w:t>
      </w:r>
      <w:hyperlink r:id="rId30" w:tooltip="Vasospasm" w:history="1">
        <w:r>
          <w:rPr>
            <w:rStyle w:val="Hyperlink"/>
            <w:rFonts w:ascii="Arial" w:hAnsi="Arial" w:cs="Arial"/>
            <w:color w:val="0B0080"/>
            <w:sz w:val="20"/>
            <w:szCs w:val="20"/>
          </w:rPr>
          <w:t>vasospasm</w:t>
        </w:r>
      </w:hyperlink>
      <w:r>
        <w:rPr>
          <w:rStyle w:val="apple-converted-space"/>
          <w:rFonts w:ascii="Arial" w:hAnsi="Arial" w:cs="Arial"/>
          <w:color w:val="000000"/>
          <w:sz w:val="20"/>
          <w:szCs w:val="20"/>
        </w:rPr>
        <w:t> </w:t>
      </w:r>
      <w:r>
        <w:rPr>
          <w:rFonts w:ascii="Arial" w:hAnsi="Arial" w:cs="Arial"/>
          <w:color w:val="000000"/>
          <w:sz w:val="20"/>
          <w:szCs w:val="20"/>
        </w:rPr>
        <w:t>and</w:t>
      </w:r>
      <w:r>
        <w:rPr>
          <w:rStyle w:val="apple-converted-space"/>
          <w:rFonts w:ascii="Arial" w:hAnsi="Arial" w:cs="Arial"/>
          <w:color w:val="000000"/>
          <w:sz w:val="20"/>
          <w:szCs w:val="20"/>
        </w:rPr>
        <w:t> </w:t>
      </w:r>
      <w:hyperlink r:id="rId31" w:tooltip="Thrombolytic drug" w:history="1">
        <w:r>
          <w:rPr>
            <w:rStyle w:val="Hyperlink"/>
            <w:rFonts w:ascii="Arial" w:hAnsi="Arial" w:cs="Arial"/>
            <w:color w:val="0B0080"/>
            <w:sz w:val="20"/>
            <w:szCs w:val="20"/>
          </w:rPr>
          <w:t>thrombolytic drugs</w:t>
        </w:r>
      </w:hyperlink>
      <w:r>
        <w:rPr>
          <w:rStyle w:val="apple-converted-space"/>
          <w:rFonts w:ascii="Arial" w:hAnsi="Arial" w:cs="Arial"/>
          <w:color w:val="000000"/>
          <w:sz w:val="20"/>
          <w:szCs w:val="20"/>
        </w:rPr>
        <w:t> </w:t>
      </w:r>
      <w:r>
        <w:rPr>
          <w:rFonts w:ascii="Arial" w:hAnsi="Arial" w:cs="Arial"/>
          <w:color w:val="000000"/>
          <w:sz w:val="20"/>
          <w:szCs w:val="20"/>
        </w:rPr>
        <w:t>for treatment of</w:t>
      </w:r>
      <w:r>
        <w:rPr>
          <w:rStyle w:val="apple-converted-space"/>
          <w:rFonts w:ascii="Arial" w:hAnsi="Arial" w:cs="Arial"/>
          <w:color w:val="000000"/>
          <w:sz w:val="20"/>
          <w:szCs w:val="20"/>
        </w:rPr>
        <w:t> </w:t>
      </w:r>
      <w:hyperlink r:id="rId32" w:tooltip="Embolism" w:history="1">
        <w:r>
          <w:rPr>
            <w:rStyle w:val="Hyperlink"/>
            <w:rFonts w:ascii="Arial" w:hAnsi="Arial" w:cs="Arial"/>
            <w:color w:val="0B0080"/>
            <w:sz w:val="20"/>
            <w:szCs w:val="20"/>
          </w:rPr>
          <w:t>embolism</w:t>
        </w:r>
      </w:hyperlink>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33" w:tooltip="Intramuscular injection" w:history="1">
        <w:r w:rsidR="00D72A4B">
          <w:rPr>
            <w:rStyle w:val="Hyperlink"/>
            <w:rFonts w:ascii="Arial" w:hAnsi="Arial" w:cs="Arial"/>
            <w:color w:val="0B0080"/>
            <w:sz w:val="20"/>
            <w:szCs w:val="20"/>
          </w:rPr>
          <w:t>intramuscular</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(into a</w:t>
      </w:r>
      <w:r w:rsidR="00D72A4B">
        <w:rPr>
          <w:rStyle w:val="apple-converted-space"/>
          <w:rFonts w:ascii="Arial" w:hAnsi="Arial" w:cs="Arial"/>
          <w:color w:val="000000"/>
          <w:sz w:val="20"/>
          <w:szCs w:val="20"/>
        </w:rPr>
        <w:t> </w:t>
      </w:r>
      <w:hyperlink r:id="rId34" w:tooltip="Muscle" w:history="1">
        <w:r w:rsidR="00D72A4B">
          <w:rPr>
            <w:rStyle w:val="Hyperlink"/>
            <w:rFonts w:ascii="Arial" w:hAnsi="Arial" w:cs="Arial"/>
            <w:color w:val="0B0080"/>
            <w:sz w:val="20"/>
            <w:szCs w:val="20"/>
          </w:rPr>
          <w:t>muscle</w:t>
        </w:r>
      </w:hyperlink>
      <w:r w:rsidR="00D72A4B">
        <w:rPr>
          <w:rFonts w:ascii="Arial" w:hAnsi="Arial" w:cs="Arial"/>
          <w:color w:val="000000"/>
          <w:sz w:val="20"/>
          <w:szCs w:val="20"/>
        </w:rPr>
        <w:t>), e.g. many</w:t>
      </w:r>
      <w:r w:rsidR="00D72A4B">
        <w:rPr>
          <w:rStyle w:val="apple-converted-space"/>
          <w:rFonts w:ascii="Arial" w:hAnsi="Arial" w:cs="Arial"/>
          <w:color w:val="000000"/>
          <w:sz w:val="20"/>
          <w:szCs w:val="20"/>
        </w:rPr>
        <w:t> </w:t>
      </w:r>
      <w:hyperlink r:id="rId35" w:tooltip="Vaccine" w:history="1">
        <w:r w:rsidR="00D72A4B">
          <w:rPr>
            <w:rStyle w:val="Hyperlink"/>
            <w:rFonts w:ascii="Arial" w:hAnsi="Arial" w:cs="Arial"/>
            <w:color w:val="0B0080"/>
            <w:sz w:val="20"/>
            <w:szCs w:val="20"/>
          </w:rPr>
          <w:t>vaccines</w:t>
        </w:r>
      </w:hyperlink>
      <w:r w:rsidR="00D72A4B">
        <w:rPr>
          <w:rFonts w:ascii="Arial" w:hAnsi="Arial" w:cs="Arial"/>
          <w:color w:val="000000"/>
          <w:sz w:val="20"/>
          <w:szCs w:val="20"/>
        </w:rPr>
        <w:t>, antibiotics, and long-term psychoactive agents. Recreationally the colloquial term 'muscling' is used.</w:t>
      </w:r>
      <w:hyperlink r:id="rId36" w:anchor="cite_note-8" w:history="1">
        <w:r w:rsidR="00D72A4B">
          <w:rPr>
            <w:rStyle w:val="Hyperlink"/>
            <w:rFonts w:ascii="Arial" w:hAnsi="Arial" w:cs="Arial"/>
            <w:color w:val="0B0080"/>
            <w:sz w:val="20"/>
            <w:szCs w:val="20"/>
            <w:vertAlign w:val="superscript"/>
          </w:rPr>
          <w:t>[8]</w:t>
        </w:r>
      </w:hyperlink>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37" w:tooltip="Intracardiac" w:history="1">
        <w:r w:rsidR="00D72A4B">
          <w:rPr>
            <w:rStyle w:val="Hyperlink"/>
            <w:rFonts w:ascii="Arial" w:hAnsi="Arial" w:cs="Arial"/>
            <w:color w:val="0B0080"/>
            <w:sz w:val="20"/>
            <w:szCs w:val="20"/>
          </w:rPr>
          <w:t>intracardiac</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(into the heart), e.g.</w:t>
      </w:r>
      <w:r w:rsidR="00D72A4B">
        <w:rPr>
          <w:rStyle w:val="apple-converted-space"/>
          <w:rFonts w:ascii="Arial" w:hAnsi="Arial" w:cs="Arial"/>
          <w:color w:val="000000"/>
          <w:sz w:val="20"/>
          <w:szCs w:val="20"/>
        </w:rPr>
        <w:t> </w:t>
      </w:r>
      <w:hyperlink r:id="rId38" w:tooltip="Adrenaline" w:history="1">
        <w:r w:rsidR="00D72A4B">
          <w:rPr>
            <w:rStyle w:val="Hyperlink"/>
            <w:rFonts w:ascii="Arial" w:hAnsi="Arial" w:cs="Arial"/>
            <w:color w:val="0B0080"/>
            <w:sz w:val="20"/>
            <w:szCs w:val="20"/>
          </w:rPr>
          <w:t>adrenaline</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during</w:t>
      </w:r>
      <w:r w:rsidR="00D72A4B">
        <w:rPr>
          <w:rStyle w:val="apple-converted-space"/>
          <w:rFonts w:ascii="Arial" w:hAnsi="Arial" w:cs="Arial"/>
          <w:color w:val="000000"/>
          <w:sz w:val="20"/>
          <w:szCs w:val="20"/>
        </w:rPr>
        <w:t> </w:t>
      </w:r>
      <w:hyperlink r:id="rId39" w:tooltip="Cardiopulmonary resuscitation" w:history="1">
        <w:r w:rsidR="00D72A4B">
          <w:rPr>
            <w:rStyle w:val="Hyperlink"/>
            <w:rFonts w:ascii="Arial" w:hAnsi="Arial" w:cs="Arial"/>
            <w:color w:val="0B0080"/>
            <w:sz w:val="20"/>
            <w:szCs w:val="20"/>
          </w:rPr>
          <w:t>cardiopulmonary resuscitation</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(no longer commonly performed)</w:t>
      </w:r>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40" w:tooltip="Intraosseous infusion" w:history="1">
        <w:r w:rsidR="00D72A4B">
          <w:rPr>
            <w:rStyle w:val="Hyperlink"/>
            <w:rFonts w:ascii="Arial" w:hAnsi="Arial" w:cs="Arial"/>
            <w:color w:val="0B0080"/>
            <w:sz w:val="20"/>
            <w:szCs w:val="20"/>
          </w:rPr>
          <w:t>intraosseous infusion</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(into the</w:t>
      </w:r>
      <w:r w:rsidR="00D72A4B">
        <w:rPr>
          <w:rStyle w:val="apple-converted-space"/>
          <w:rFonts w:ascii="Arial" w:hAnsi="Arial" w:cs="Arial"/>
          <w:color w:val="000000"/>
          <w:sz w:val="20"/>
          <w:szCs w:val="20"/>
        </w:rPr>
        <w:t> </w:t>
      </w:r>
      <w:hyperlink r:id="rId41" w:tooltip="Bone" w:history="1">
        <w:r w:rsidR="00D72A4B">
          <w:rPr>
            <w:rStyle w:val="Hyperlink"/>
            <w:rFonts w:ascii="Arial" w:hAnsi="Arial" w:cs="Arial"/>
            <w:color w:val="0B0080"/>
            <w:sz w:val="20"/>
            <w:szCs w:val="20"/>
          </w:rPr>
          <w:t>bone</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marrow) is, in effect, an indirect intravenous access because the bone marrow drains directly into the venous system. This route is occasionally used for drugs and fluids in emergency medicine and pediatrics when intravenous access is difficult.</w:t>
      </w:r>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42" w:tooltip="Intrathecal" w:history="1">
        <w:r w:rsidR="00D72A4B">
          <w:rPr>
            <w:rStyle w:val="Hyperlink"/>
            <w:rFonts w:ascii="Arial" w:hAnsi="Arial" w:cs="Arial"/>
            <w:color w:val="0B0080"/>
            <w:sz w:val="20"/>
            <w:szCs w:val="20"/>
          </w:rPr>
          <w:t>intrathecal</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(into the spinal canal) is most commonly used for spinal</w:t>
      </w:r>
      <w:r w:rsidR="00D72A4B">
        <w:rPr>
          <w:rStyle w:val="apple-converted-space"/>
          <w:rFonts w:ascii="Arial" w:hAnsi="Arial" w:cs="Arial"/>
          <w:color w:val="000000"/>
          <w:sz w:val="20"/>
          <w:szCs w:val="20"/>
        </w:rPr>
        <w:t> </w:t>
      </w:r>
      <w:hyperlink r:id="rId43" w:tooltip="Anesthesia" w:history="1">
        <w:r w:rsidR="00D72A4B">
          <w:rPr>
            <w:rStyle w:val="Hyperlink"/>
            <w:rFonts w:ascii="Arial" w:hAnsi="Arial" w:cs="Arial"/>
            <w:color w:val="0B0080"/>
            <w:sz w:val="20"/>
            <w:szCs w:val="20"/>
          </w:rPr>
          <w:t>anesthesia</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and</w:t>
      </w:r>
      <w:r w:rsidR="00D72A4B">
        <w:rPr>
          <w:rStyle w:val="apple-converted-space"/>
          <w:rFonts w:ascii="Arial" w:hAnsi="Arial" w:cs="Arial"/>
          <w:color w:val="000000"/>
          <w:sz w:val="20"/>
          <w:szCs w:val="20"/>
        </w:rPr>
        <w:t> </w:t>
      </w:r>
      <w:hyperlink r:id="rId44" w:tooltip="Chemotherapy" w:history="1">
        <w:r w:rsidR="00D72A4B">
          <w:rPr>
            <w:rStyle w:val="Hyperlink"/>
            <w:rFonts w:ascii="Arial" w:hAnsi="Arial" w:cs="Arial"/>
            <w:color w:val="0B0080"/>
            <w:sz w:val="20"/>
            <w:szCs w:val="20"/>
          </w:rPr>
          <w:t>chemotherapy</w:t>
        </w:r>
      </w:hyperlink>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45" w:tooltip="Intraperitoneal injection" w:history="1">
        <w:r w:rsidR="00D72A4B">
          <w:rPr>
            <w:rStyle w:val="Hyperlink"/>
            <w:rFonts w:ascii="Arial" w:hAnsi="Arial" w:cs="Arial"/>
            <w:color w:val="0B0080"/>
            <w:sz w:val="20"/>
            <w:szCs w:val="20"/>
          </w:rPr>
          <w:t>intraperitoneal</w:t>
        </w:r>
      </w:hyperlink>
      <w:r w:rsidR="00D72A4B">
        <w:rPr>
          <w:rFonts w:ascii="Arial" w:hAnsi="Arial" w:cs="Arial"/>
          <w:color w:val="000000"/>
          <w:sz w:val="20"/>
          <w:szCs w:val="20"/>
        </w:rPr>
        <w:t>, (infusion or injection into the</w:t>
      </w:r>
      <w:r w:rsidR="00D72A4B">
        <w:rPr>
          <w:rStyle w:val="apple-converted-space"/>
          <w:rFonts w:ascii="Arial" w:hAnsi="Arial" w:cs="Arial"/>
          <w:color w:val="000000"/>
          <w:sz w:val="20"/>
          <w:szCs w:val="20"/>
        </w:rPr>
        <w:t> </w:t>
      </w:r>
      <w:hyperlink r:id="rId46" w:tooltip="Peritoneum" w:history="1">
        <w:r w:rsidR="00D72A4B">
          <w:rPr>
            <w:rStyle w:val="Hyperlink"/>
            <w:rFonts w:ascii="Arial" w:hAnsi="Arial" w:cs="Arial"/>
            <w:color w:val="0B0080"/>
            <w:sz w:val="20"/>
            <w:szCs w:val="20"/>
          </w:rPr>
          <w:t>peritoneum</w:t>
        </w:r>
      </w:hyperlink>
      <w:r w:rsidR="00D72A4B">
        <w:rPr>
          <w:rFonts w:ascii="Arial" w:hAnsi="Arial" w:cs="Arial"/>
          <w:color w:val="000000"/>
          <w:sz w:val="20"/>
          <w:szCs w:val="20"/>
        </w:rPr>
        <w:t>) e.g.</w:t>
      </w:r>
      <w:r w:rsidR="00D72A4B">
        <w:rPr>
          <w:rStyle w:val="apple-converted-space"/>
          <w:rFonts w:ascii="Arial" w:hAnsi="Arial" w:cs="Arial"/>
          <w:color w:val="000000"/>
          <w:sz w:val="20"/>
          <w:szCs w:val="20"/>
        </w:rPr>
        <w:t> </w:t>
      </w:r>
      <w:hyperlink r:id="rId47" w:tooltip="Peritoneal dialysis" w:history="1">
        <w:r w:rsidR="00D72A4B">
          <w:rPr>
            <w:rStyle w:val="Hyperlink"/>
            <w:rFonts w:ascii="Arial" w:hAnsi="Arial" w:cs="Arial"/>
            <w:color w:val="0B0080"/>
            <w:sz w:val="20"/>
            <w:szCs w:val="20"/>
          </w:rPr>
          <w:t>peritoneal dialysis</w:t>
        </w:r>
      </w:hyperlink>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48" w:tooltip="Urinary bladder" w:history="1">
        <w:r w:rsidR="00D72A4B">
          <w:rPr>
            <w:rStyle w:val="Hyperlink"/>
            <w:rFonts w:ascii="Arial" w:hAnsi="Arial" w:cs="Arial"/>
            <w:color w:val="0B0080"/>
            <w:sz w:val="20"/>
            <w:szCs w:val="20"/>
          </w:rPr>
          <w:t>Intravesical</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infusion is into the urinary bladder.</w:t>
      </w:r>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49" w:tooltip="Intravitreal" w:history="1">
        <w:r w:rsidR="00D72A4B">
          <w:rPr>
            <w:rStyle w:val="Hyperlink"/>
            <w:rFonts w:ascii="Arial" w:hAnsi="Arial" w:cs="Arial"/>
            <w:color w:val="0B0080"/>
            <w:sz w:val="20"/>
            <w:szCs w:val="20"/>
          </w:rPr>
          <w:t>intravitreal</w:t>
        </w:r>
      </w:hyperlink>
      <w:r w:rsidR="00D72A4B">
        <w:rPr>
          <w:rFonts w:ascii="Arial" w:hAnsi="Arial" w:cs="Arial"/>
          <w:color w:val="000000"/>
          <w:sz w:val="20"/>
          <w:szCs w:val="20"/>
        </w:rPr>
        <w:t>, through the eye</w:t>
      </w:r>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50" w:tooltip="Intracavernous injection" w:history="1">
        <w:r w:rsidR="00D72A4B">
          <w:rPr>
            <w:rStyle w:val="Hyperlink"/>
            <w:rFonts w:ascii="Arial" w:hAnsi="Arial" w:cs="Arial"/>
            <w:color w:val="0B0080"/>
            <w:sz w:val="20"/>
            <w:szCs w:val="20"/>
          </w:rPr>
          <w:t>Intracavernous injection</w:t>
        </w:r>
      </w:hyperlink>
      <w:r w:rsidR="00D72A4B">
        <w:rPr>
          <w:rFonts w:ascii="Arial" w:hAnsi="Arial" w:cs="Arial"/>
          <w:color w:val="000000"/>
          <w:sz w:val="20"/>
          <w:szCs w:val="20"/>
        </w:rPr>
        <w:t>, an injection into the base of the</w:t>
      </w:r>
      <w:r w:rsidR="00D72A4B">
        <w:rPr>
          <w:rStyle w:val="apple-converted-space"/>
          <w:rFonts w:ascii="Arial" w:hAnsi="Arial" w:cs="Arial"/>
          <w:color w:val="000000"/>
          <w:sz w:val="20"/>
          <w:szCs w:val="20"/>
        </w:rPr>
        <w:t> </w:t>
      </w:r>
      <w:hyperlink r:id="rId51" w:tooltip="Penis" w:history="1">
        <w:r w:rsidR="00D72A4B">
          <w:rPr>
            <w:rStyle w:val="Hyperlink"/>
            <w:rFonts w:ascii="Arial" w:hAnsi="Arial" w:cs="Arial"/>
            <w:color w:val="0B0080"/>
            <w:sz w:val="20"/>
            <w:szCs w:val="20"/>
          </w:rPr>
          <w:t>penis</w:t>
        </w:r>
      </w:hyperlink>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52" w:tooltip="Intravaginal administration" w:history="1">
        <w:r w:rsidR="00D72A4B">
          <w:rPr>
            <w:rStyle w:val="Hyperlink"/>
            <w:rFonts w:ascii="Arial" w:hAnsi="Arial" w:cs="Arial"/>
            <w:color w:val="0B0080"/>
            <w:sz w:val="20"/>
            <w:szCs w:val="20"/>
          </w:rPr>
          <w:t>Intravaginal administration</w:t>
        </w:r>
      </w:hyperlink>
      <w:r w:rsidR="00D72A4B">
        <w:rPr>
          <w:rFonts w:ascii="Arial" w:hAnsi="Arial" w:cs="Arial"/>
          <w:color w:val="000000"/>
          <w:sz w:val="20"/>
          <w:szCs w:val="20"/>
        </w:rPr>
        <w:t>, in the</w:t>
      </w:r>
      <w:r w:rsidR="00D72A4B">
        <w:rPr>
          <w:rStyle w:val="apple-converted-space"/>
          <w:rFonts w:ascii="Arial" w:hAnsi="Arial" w:cs="Arial"/>
          <w:color w:val="000000"/>
          <w:sz w:val="20"/>
          <w:szCs w:val="20"/>
        </w:rPr>
        <w:t> </w:t>
      </w:r>
      <w:hyperlink r:id="rId53" w:tooltip="Vagina" w:history="1">
        <w:r w:rsidR="00D72A4B">
          <w:rPr>
            <w:rStyle w:val="Hyperlink"/>
            <w:rFonts w:ascii="Arial" w:hAnsi="Arial" w:cs="Arial"/>
            <w:color w:val="0B0080"/>
            <w:sz w:val="20"/>
            <w:szCs w:val="20"/>
          </w:rPr>
          <w:t>vagina</w:t>
        </w:r>
      </w:hyperlink>
    </w:p>
    <w:p w:rsidR="00D72A4B" w:rsidRDefault="00D72A4B"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r>
        <w:rPr>
          <w:rFonts w:ascii="Arial" w:hAnsi="Arial" w:cs="Arial"/>
          <w:color w:val="000000"/>
          <w:sz w:val="20"/>
          <w:szCs w:val="20"/>
        </w:rPr>
        <w:t>Intrauterine</w:t>
      </w:r>
    </w:p>
    <w:p w:rsidR="00D72A4B" w:rsidRDefault="004E5688" w:rsidP="0005189E">
      <w:pPr>
        <w:numPr>
          <w:ilvl w:val="1"/>
          <w:numId w:val="6"/>
        </w:numPr>
        <w:shd w:val="clear" w:color="auto" w:fill="FFFFFF"/>
        <w:spacing w:before="100" w:beforeAutospacing="1" w:after="24" w:line="360" w:lineRule="atLeast"/>
        <w:ind w:left="768"/>
        <w:rPr>
          <w:rFonts w:ascii="Arial" w:hAnsi="Arial" w:cs="Arial"/>
          <w:color w:val="000000"/>
          <w:sz w:val="20"/>
          <w:szCs w:val="20"/>
        </w:rPr>
      </w:pPr>
      <w:hyperlink r:id="rId54" w:tooltip="Extra-amniotic administration" w:history="1">
        <w:r w:rsidR="00D72A4B">
          <w:rPr>
            <w:rStyle w:val="Hyperlink"/>
            <w:rFonts w:ascii="Arial" w:hAnsi="Arial" w:cs="Arial"/>
            <w:color w:val="0B0080"/>
            <w:sz w:val="20"/>
            <w:szCs w:val="20"/>
          </w:rPr>
          <w:t>Extra-amniotic administration</w:t>
        </w:r>
      </w:hyperlink>
      <w:r w:rsidR="00D72A4B">
        <w:rPr>
          <w:rFonts w:ascii="Arial" w:hAnsi="Arial" w:cs="Arial"/>
          <w:color w:val="000000"/>
          <w:sz w:val="20"/>
          <w:szCs w:val="20"/>
        </w:rPr>
        <w:t>, between the</w:t>
      </w:r>
      <w:r w:rsidR="00D72A4B">
        <w:rPr>
          <w:rStyle w:val="apple-converted-space"/>
          <w:rFonts w:ascii="Arial" w:hAnsi="Arial" w:cs="Arial"/>
          <w:color w:val="000000"/>
          <w:sz w:val="20"/>
          <w:szCs w:val="20"/>
        </w:rPr>
        <w:t> </w:t>
      </w:r>
      <w:hyperlink r:id="rId55" w:tooltip="Endometrium" w:history="1">
        <w:r w:rsidR="00D72A4B">
          <w:rPr>
            <w:rStyle w:val="Hyperlink"/>
            <w:rFonts w:ascii="Arial" w:hAnsi="Arial" w:cs="Arial"/>
            <w:color w:val="0B0080"/>
            <w:sz w:val="20"/>
            <w:szCs w:val="20"/>
          </w:rPr>
          <w:t>endometrium</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and</w:t>
      </w:r>
      <w:r w:rsidR="00D72A4B">
        <w:rPr>
          <w:rStyle w:val="apple-converted-space"/>
          <w:rFonts w:ascii="Arial" w:hAnsi="Arial" w:cs="Arial"/>
          <w:color w:val="000000"/>
          <w:sz w:val="20"/>
          <w:szCs w:val="20"/>
        </w:rPr>
        <w:t> </w:t>
      </w:r>
      <w:hyperlink r:id="rId56" w:tooltip="Fetal membranes" w:history="1">
        <w:r w:rsidR="00D72A4B">
          <w:rPr>
            <w:rStyle w:val="Hyperlink"/>
            <w:rFonts w:ascii="Arial" w:hAnsi="Arial" w:cs="Arial"/>
            <w:color w:val="0B0080"/>
            <w:sz w:val="20"/>
            <w:szCs w:val="20"/>
          </w:rPr>
          <w:t>fetal membranes</w:t>
        </w:r>
      </w:hyperlink>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57" w:tooltip="Transdermal technology" w:history="1">
        <w:r w:rsidR="00D72A4B">
          <w:rPr>
            <w:rStyle w:val="Hyperlink"/>
            <w:rFonts w:ascii="Arial" w:hAnsi="Arial" w:cs="Arial"/>
            <w:color w:val="0B0080"/>
            <w:sz w:val="20"/>
            <w:szCs w:val="20"/>
          </w:rPr>
          <w:t>transdermal</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(diffusion through the intact skin for systemic rather than topical distribution), e.g.</w:t>
      </w:r>
      <w:r w:rsidR="00D72A4B">
        <w:rPr>
          <w:rStyle w:val="apple-converted-space"/>
          <w:rFonts w:ascii="Arial" w:hAnsi="Arial" w:cs="Arial"/>
          <w:color w:val="000000"/>
          <w:sz w:val="20"/>
          <w:szCs w:val="20"/>
        </w:rPr>
        <w:t> </w:t>
      </w:r>
      <w:hyperlink r:id="rId58" w:tooltip="Transdermal patch" w:history="1">
        <w:r w:rsidR="00D72A4B">
          <w:rPr>
            <w:rStyle w:val="Hyperlink"/>
            <w:rFonts w:ascii="Arial" w:hAnsi="Arial" w:cs="Arial"/>
            <w:color w:val="0B0080"/>
            <w:sz w:val="20"/>
            <w:szCs w:val="20"/>
          </w:rPr>
          <w:t>transdermal patches</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such as</w:t>
      </w:r>
      <w:r w:rsidR="00D72A4B">
        <w:rPr>
          <w:rStyle w:val="apple-converted-space"/>
          <w:rFonts w:ascii="Arial" w:hAnsi="Arial" w:cs="Arial"/>
          <w:color w:val="000000"/>
          <w:sz w:val="20"/>
          <w:szCs w:val="20"/>
        </w:rPr>
        <w:t> </w:t>
      </w:r>
      <w:hyperlink r:id="rId59" w:tooltip="Fentanyl" w:history="1">
        <w:r w:rsidR="00D72A4B">
          <w:rPr>
            <w:rStyle w:val="Hyperlink"/>
            <w:rFonts w:ascii="Arial" w:hAnsi="Arial" w:cs="Arial"/>
            <w:color w:val="0B0080"/>
            <w:sz w:val="20"/>
            <w:szCs w:val="20"/>
          </w:rPr>
          <w:t>fentanyl</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in pain therapy,</w:t>
      </w:r>
      <w:r w:rsidR="00D72A4B">
        <w:rPr>
          <w:rStyle w:val="apple-converted-space"/>
          <w:rFonts w:ascii="Arial" w:hAnsi="Arial" w:cs="Arial"/>
          <w:color w:val="000000"/>
          <w:sz w:val="20"/>
          <w:szCs w:val="20"/>
        </w:rPr>
        <w:t> </w:t>
      </w:r>
      <w:hyperlink r:id="rId60" w:tooltip="Nicotine" w:history="1">
        <w:r w:rsidR="00D72A4B">
          <w:rPr>
            <w:rStyle w:val="Hyperlink"/>
            <w:rFonts w:ascii="Arial" w:hAnsi="Arial" w:cs="Arial"/>
            <w:color w:val="0B0080"/>
            <w:sz w:val="20"/>
            <w:szCs w:val="20"/>
          </w:rPr>
          <w:t>nicotine</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patches for treatment of</w:t>
      </w:r>
      <w:r w:rsidR="00D72A4B">
        <w:rPr>
          <w:rStyle w:val="apple-converted-space"/>
          <w:rFonts w:ascii="Arial" w:hAnsi="Arial" w:cs="Arial"/>
          <w:color w:val="000000"/>
          <w:sz w:val="20"/>
          <w:szCs w:val="20"/>
        </w:rPr>
        <w:t> </w:t>
      </w:r>
      <w:hyperlink r:id="rId61" w:tooltip="Substance use disorder" w:history="1">
        <w:r w:rsidR="00D72A4B">
          <w:rPr>
            <w:rStyle w:val="Hyperlink"/>
            <w:rFonts w:ascii="Arial" w:hAnsi="Arial" w:cs="Arial"/>
            <w:color w:val="0B0080"/>
            <w:sz w:val="20"/>
            <w:szCs w:val="20"/>
          </w:rPr>
          <w:t>addiction</w:t>
        </w:r>
      </w:hyperlink>
      <w:r w:rsidR="00D72A4B">
        <w:rPr>
          <w:rFonts w:ascii="Arial" w:hAnsi="Arial" w:cs="Arial"/>
          <w:color w:val="000000"/>
          <w:sz w:val="20"/>
          <w:szCs w:val="20"/>
        </w:rPr>
        <w:t>and</w:t>
      </w:r>
      <w:r w:rsidR="00D72A4B">
        <w:rPr>
          <w:rStyle w:val="apple-converted-space"/>
          <w:rFonts w:ascii="Arial" w:hAnsi="Arial" w:cs="Arial"/>
          <w:color w:val="000000"/>
          <w:sz w:val="20"/>
          <w:szCs w:val="20"/>
        </w:rPr>
        <w:t> </w:t>
      </w:r>
      <w:hyperlink r:id="rId62" w:tooltip="Glyceryl trinitrate (pharmacology)" w:history="1">
        <w:r w:rsidR="00D72A4B">
          <w:rPr>
            <w:rStyle w:val="Hyperlink"/>
            <w:rFonts w:ascii="Arial" w:hAnsi="Arial" w:cs="Arial"/>
            <w:color w:val="0B0080"/>
            <w:sz w:val="20"/>
            <w:szCs w:val="20"/>
          </w:rPr>
          <w:t>nitroglycerine</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for treatment of</w:t>
      </w:r>
      <w:r w:rsidR="00D72A4B">
        <w:rPr>
          <w:rStyle w:val="apple-converted-space"/>
          <w:rFonts w:ascii="Arial" w:hAnsi="Arial" w:cs="Arial"/>
          <w:color w:val="000000"/>
          <w:sz w:val="20"/>
          <w:szCs w:val="20"/>
        </w:rPr>
        <w:t> </w:t>
      </w:r>
      <w:hyperlink r:id="rId63" w:tooltip="Angina pectoris" w:history="1">
        <w:r w:rsidR="00D72A4B">
          <w:rPr>
            <w:rStyle w:val="Hyperlink"/>
            <w:rFonts w:ascii="Arial" w:hAnsi="Arial" w:cs="Arial"/>
            <w:color w:val="0B0080"/>
            <w:sz w:val="20"/>
            <w:szCs w:val="20"/>
          </w:rPr>
          <w:t>angina pectoris</w:t>
        </w:r>
      </w:hyperlink>
      <w:r w:rsidR="00D72A4B">
        <w:rPr>
          <w:rFonts w:ascii="Arial" w:hAnsi="Arial" w:cs="Arial"/>
          <w:color w:val="000000"/>
          <w:sz w:val="20"/>
          <w:szCs w:val="20"/>
        </w:rPr>
        <w:t>.</w:t>
      </w:r>
    </w:p>
    <w:p w:rsidR="00D72A4B" w:rsidRDefault="004E5688" w:rsidP="0005189E">
      <w:pPr>
        <w:numPr>
          <w:ilvl w:val="0"/>
          <w:numId w:val="6"/>
        </w:numPr>
        <w:shd w:val="clear" w:color="auto" w:fill="FFFFFF"/>
        <w:spacing w:before="100" w:beforeAutospacing="1" w:after="24" w:line="288" w:lineRule="atLeast"/>
        <w:ind w:left="384"/>
        <w:rPr>
          <w:rFonts w:ascii="Arial" w:hAnsi="Arial" w:cs="Arial"/>
          <w:color w:val="000000"/>
          <w:sz w:val="20"/>
          <w:szCs w:val="20"/>
        </w:rPr>
      </w:pPr>
      <w:hyperlink r:id="rId64" w:tooltip="Transmucosal" w:history="1">
        <w:r w:rsidR="00D72A4B">
          <w:rPr>
            <w:rStyle w:val="Hyperlink"/>
            <w:rFonts w:ascii="Arial" w:hAnsi="Arial" w:cs="Arial"/>
            <w:color w:val="0B0080"/>
            <w:sz w:val="20"/>
            <w:szCs w:val="20"/>
          </w:rPr>
          <w:t>Transmucosal</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(diffusion through a mucous membrane), e.g.</w:t>
      </w:r>
      <w:r w:rsidR="00D72A4B">
        <w:rPr>
          <w:rStyle w:val="apple-converted-space"/>
          <w:rFonts w:ascii="Arial" w:hAnsi="Arial" w:cs="Arial"/>
          <w:color w:val="000000"/>
          <w:sz w:val="20"/>
          <w:szCs w:val="20"/>
        </w:rPr>
        <w:t> </w:t>
      </w:r>
      <w:hyperlink r:id="rId65" w:tooltip="Insufflation (medicine)" w:history="1">
        <w:r w:rsidR="00D72A4B">
          <w:rPr>
            <w:rStyle w:val="Hyperlink"/>
            <w:rFonts w:ascii="Arial" w:hAnsi="Arial" w:cs="Arial"/>
            <w:color w:val="0B0080"/>
            <w:sz w:val="20"/>
            <w:szCs w:val="20"/>
          </w:rPr>
          <w:t>insufflation</w:t>
        </w:r>
      </w:hyperlink>
      <w:r w:rsidR="00D72A4B">
        <w:rPr>
          <w:rStyle w:val="apple-converted-space"/>
          <w:rFonts w:ascii="Arial" w:hAnsi="Arial" w:cs="Arial"/>
          <w:color w:val="000000"/>
          <w:sz w:val="20"/>
          <w:szCs w:val="20"/>
        </w:rPr>
        <w:t> </w:t>
      </w:r>
      <w:r w:rsidR="00D72A4B">
        <w:rPr>
          <w:rFonts w:ascii="Arial" w:hAnsi="Arial" w:cs="Arial"/>
          <w:color w:val="000000"/>
          <w:sz w:val="20"/>
          <w:szCs w:val="20"/>
        </w:rPr>
        <w:t>(snorting) of</w:t>
      </w:r>
      <w:r w:rsidR="00D72A4B">
        <w:rPr>
          <w:rStyle w:val="apple-converted-space"/>
          <w:rFonts w:ascii="Arial" w:hAnsi="Arial" w:cs="Arial"/>
          <w:color w:val="000000"/>
          <w:sz w:val="20"/>
          <w:szCs w:val="20"/>
        </w:rPr>
        <w:t> </w:t>
      </w:r>
      <w:hyperlink r:id="rId66" w:tooltip="Cocaine" w:history="1">
        <w:r w:rsidR="00D72A4B">
          <w:rPr>
            <w:rStyle w:val="Hyperlink"/>
            <w:rFonts w:ascii="Arial" w:hAnsi="Arial" w:cs="Arial"/>
            <w:color w:val="0B0080"/>
            <w:sz w:val="20"/>
            <w:szCs w:val="20"/>
          </w:rPr>
          <w:t>cocaine</w:t>
        </w:r>
      </w:hyperlink>
      <w:r w:rsidR="00D72A4B">
        <w:rPr>
          <w:rFonts w:ascii="Arial" w:hAnsi="Arial" w:cs="Arial"/>
          <w:color w:val="000000"/>
          <w:sz w:val="20"/>
          <w:szCs w:val="20"/>
        </w:rPr>
        <w:t>,</w:t>
      </w:r>
      <w:r w:rsidR="00D72A4B">
        <w:rPr>
          <w:rStyle w:val="apple-converted-space"/>
          <w:rFonts w:ascii="Arial" w:hAnsi="Arial" w:cs="Arial"/>
          <w:color w:val="000000"/>
          <w:sz w:val="20"/>
          <w:szCs w:val="20"/>
        </w:rPr>
        <w:t> </w:t>
      </w:r>
      <w:hyperlink r:id="rId67" w:tooltip="Sublingual" w:history="1">
        <w:r w:rsidR="00D72A4B">
          <w:rPr>
            <w:rStyle w:val="Hyperlink"/>
            <w:rFonts w:ascii="Arial" w:hAnsi="Arial" w:cs="Arial"/>
            <w:color w:val="0B0080"/>
            <w:sz w:val="20"/>
            <w:szCs w:val="20"/>
          </w:rPr>
          <w:t>sublingual</w:t>
        </w:r>
      </w:hyperlink>
      <w:r w:rsidR="00D72A4B">
        <w:rPr>
          <w:rFonts w:ascii="Arial" w:hAnsi="Arial" w:cs="Arial"/>
          <w:color w:val="000000"/>
          <w:sz w:val="20"/>
          <w:szCs w:val="20"/>
        </w:rPr>
        <w:t>, i.e. under the tongue,</w:t>
      </w:r>
      <w:r w:rsidR="00D72A4B">
        <w:rPr>
          <w:rStyle w:val="apple-converted-space"/>
          <w:rFonts w:ascii="Arial" w:hAnsi="Arial" w:cs="Arial"/>
          <w:color w:val="000000"/>
          <w:sz w:val="20"/>
          <w:szCs w:val="20"/>
        </w:rPr>
        <w:t> </w:t>
      </w:r>
      <w:hyperlink r:id="rId68" w:tooltip="Sublabial route of administration" w:history="1">
        <w:r w:rsidR="00D72A4B">
          <w:rPr>
            <w:rStyle w:val="Hyperlink"/>
            <w:rFonts w:ascii="Arial" w:hAnsi="Arial" w:cs="Arial"/>
            <w:color w:val="0B0080"/>
            <w:sz w:val="20"/>
            <w:szCs w:val="20"/>
          </w:rPr>
          <w:t>sublabial</w:t>
        </w:r>
      </w:hyperlink>
      <w:r w:rsidR="00D72A4B">
        <w:rPr>
          <w:rFonts w:ascii="Arial" w:hAnsi="Arial" w:cs="Arial"/>
          <w:color w:val="000000"/>
          <w:sz w:val="20"/>
          <w:szCs w:val="20"/>
        </w:rPr>
        <w:t>, i.e. between the lips and</w:t>
      </w:r>
      <w:r w:rsidR="00D72A4B">
        <w:rPr>
          <w:rStyle w:val="apple-converted-space"/>
          <w:rFonts w:ascii="Arial" w:hAnsi="Arial" w:cs="Arial"/>
          <w:color w:val="000000"/>
          <w:sz w:val="20"/>
          <w:szCs w:val="20"/>
        </w:rPr>
        <w:t> </w:t>
      </w:r>
      <w:hyperlink r:id="rId69" w:tooltip="Gingiva" w:history="1">
        <w:r w:rsidR="00D72A4B">
          <w:rPr>
            <w:rStyle w:val="Hyperlink"/>
            <w:rFonts w:ascii="Arial" w:hAnsi="Arial" w:cs="Arial"/>
            <w:color w:val="0B0080"/>
            <w:sz w:val="20"/>
            <w:szCs w:val="20"/>
          </w:rPr>
          <w:t>gingiva</w:t>
        </w:r>
      </w:hyperlink>
      <w:r w:rsidR="00D72A4B">
        <w:rPr>
          <w:rFonts w:ascii="Arial" w:hAnsi="Arial" w:cs="Arial"/>
          <w:color w:val="000000"/>
          <w:sz w:val="20"/>
          <w:szCs w:val="20"/>
        </w:rPr>
        <w:t>,</w:t>
      </w:r>
      <w:r w:rsidR="00D72A4B">
        <w:rPr>
          <w:rStyle w:val="apple-converted-space"/>
          <w:rFonts w:ascii="Arial" w:hAnsi="Arial" w:cs="Arial"/>
          <w:color w:val="000000"/>
          <w:sz w:val="20"/>
          <w:szCs w:val="20"/>
        </w:rPr>
        <w:t> </w:t>
      </w:r>
      <w:hyperlink r:id="rId70" w:tooltip="Nitroglycerine" w:history="1">
        <w:r w:rsidR="00D72A4B">
          <w:rPr>
            <w:rStyle w:val="Hyperlink"/>
            <w:rFonts w:ascii="Arial" w:hAnsi="Arial" w:cs="Arial"/>
            <w:color w:val="0B0080"/>
            <w:sz w:val="20"/>
            <w:szCs w:val="20"/>
          </w:rPr>
          <w:t>nitroglycerine</w:t>
        </w:r>
      </w:hyperlink>
      <w:r w:rsidR="00D72A4B">
        <w:rPr>
          <w:rFonts w:ascii="Arial" w:hAnsi="Arial" w:cs="Arial"/>
          <w:color w:val="000000"/>
          <w:sz w:val="20"/>
          <w:szCs w:val="20"/>
        </w:rPr>
        <w:t>, vaginal suppositories</w:t>
      </w:r>
    </w:p>
    <w:p w:rsidR="00CA400E" w:rsidRDefault="00CA400E" w:rsidP="00D72A4B"/>
    <w:p w:rsidR="00496EB5" w:rsidRDefault="00496EB5" w:rsidP="00D72A4B"/>
    <w:p w:rsidR="00496EB5" w:rsidRDefault="00496EB5" w:rsidP="00496EB5">
      <w:r>
        <w:t>A separate area should provide options to record the following:</w:t>
      </w:r>
    </w:p>
    <w:p w:rsidR="00496EB5" w:rsidRDefault="00496EB5" w:rsidP="00496EB5"/>
    <w:p w:rsidR="00496EB5" w:rsidRDefault="00496EB5" w:rsidP="0005189E">
      <w:pPr>
        <w:pStyle w:val="ListParagraph"/>
        <w:numPr>
          <w:ilvl w:val="0"/>
          <w:numId w:val="7"/>
        </w:numPr>
      </w:pPr>
      <w:r>
        <w:t xml:space="preserve">Nasogastric Tube (NG) </w:t>
      </w:r>
    </w:p>
    <w:p w:rsidR="00496EB5" w:rsidRDefault="00496EB5" w:rsidP="0005189E">
      <w:pPr>
        <w:pStyle w:val="ListParagraph"/>
        <w:numPr>
          <w:ilvl w:val="0"/>
          <w:numId w:val="7"/>
        </w:numPr>
      </w:pPr>
      <w:r w:rsidRPr="00533A03">
        <w:t>Nasojejuna</w:t>
      </w:r>
      <w:r>
        <w:t>l (NJ)</w:t>
      </w:r>
    </w:p>
    <w:p w:rsidR="00496EB5" w:rsidRDefault="00496EB5" w:rsidP="0005189E">
      <w:pPr>
        <w:pStyle w:val="ListParagraph"/>
        <w:numPr>
          <w:ilvl w:val="0"/>
          <w:numId w:val="7"/>
        </w:numPr>
      </w:pPr>
      <w:r w:rsidRPr="00533A03">
        <w:t>Gastric drainage tube</w:t>
      </w:r>
      <w:r>
        <w:t xml:space="preserve"> (G-tube)</w:t>
      </w:r>
    </w:p>
    <w:p w:rsidR="00400D7E" w:rsidRDefault="00400D7E">
      <w:r>
        <w:br w:type="page"/>
      </w:r>
    </w:p>
    <w:p w:rsidR="005605B6" w:rsidRPr="005605B6" w:rsidRDefault="005605B6" w:rsidP="005605B6">
      <w:pPr>
        <w:rPr>
          <w:highlight w:val="yellow"/>
        </w:rPr>
      </w:pPr>
      <w:r w:rsidRPr="005605B6">
        <w:rPr>
          <w:highlight w:val="yellow"/>
        </w:rPr>
        <w:lastRenderedPageBreak/>
        <w:t>Intravenous</w:t>
      </w:r>
    </w:p>
    <w:p w:rsidR="005605B6" w:rsidRPr="005605B6" w:rsidRDefault="005605B6" w:rsidP="005605B6">
      <w:pPr>
        <w:rPr>
          <w:highlight w:val="yellow"/>
        </w:rPr>
      </w:pPr>
      <w:r w:rsidRPr="005605B6">
        <w:rPr>
          <w:highlight w:val="yellow"/>
        </w:rPr>
        <w:t>Intra-osseous</w:t>
      </w:r>
    </w:p>
    <w:p w:rsidR="005605B6" w:rsidRPr="005605B6" w:rsidRDefault="005605B6" w:rsidP="005605B6">
      <w:pPr>
        <w:rPr>
          <w:highlight w:val="yellow"/>
        </w:rPr>
      </w:pPr>
      <w:r w:rsidRPr="005605B6">
        <w:rPr>
          <w:highlight w:val="yellow"/>
        </w:rPr>
        <w:t>Intra-arterial</w:t>
      </w:r>
    </w:p>
    <w:p w:rsidR="005605B6" w:rsidRPr="005605B6" w:rsidRDefault="005605B6" w:rsidP="005605B6">
      <w:pPr>
        <w:rPr>
          <w:highlight w:val="yellow"/>
        </w:rPr>
      </w:pPr>
      <w:r w:rsidRPr="005605B6">
        <w:rPr>
          <w:highlight w:val="yellow"/>
        </w:rPr>
        <w:t>Subcutaneous</w:t>
      </w:r>
    </w:p>
    <w:p w:rsidR="005605B6" w:rsidRPr="005605B6" w:rsidRDefault="005605B6" w:rsidP="005605B6">
      <w:pPr>
        <w:rPr>
          <w:highlight w:val="yellow"/>
        </w:rPr>
      </w:pPr>
      <w:r w:rsidRPr="005605B6">
        <w:rPr>
          <w:highlight w:val="yellow"/>
        </w:rPr>
        <w:t>Intra-muscular</w:t>
      </w:r>
    </w:p>
    <w:p w:rsidR="005605B6" w:rsidRPr="005605B6" w:rsidRDefault="005605B6" w:rsidP="005605B6">
      <w:pPr>
        <w:rPr>
          <w:highlight w:val="yellow"/>
        </w:rPr>
      </w:pPr>
      <w:r w:rsidRPr="005605B6">
        <w:rPr>
          <w:highlight w:val="yellow"/>
        </w:rPr>
        <w:t>Inhalation</w:t>
      </w:r>
    </w:p>
    <w:p w:rsidR="005605B6" w:rsidRPr="005605B6" w:rsidRDefault="005605B6" w:rsidP="005605B6">
      <w:pPr>
        <w:rPr>
          <w:highlight w:val="yellow"/>
        </w:rPr>
      </w:pPr>
      <w:r w:rsidRPr="005605B6">
        <w:rPr>
          <w:highlight w:val="yellow"/>
        </w:rPr>
        <w:t>Nasal</w:t>
      </w:r>
    </w:p>
    <w:p w:rsidR="00D05DBC" w:rsidRPr="005605B6" w:rsidRDefault="00D05DBC" w:rsidP="00D05DBC">
      <w:pPr>
        <w:rPr>
          <w:highlight w:val="yellow"/>
        </w:rPr>
      </w:pPr>
      <w:r w:rsidRPr="005605B6">
        <w:rPr>
          <w:highlight w:val="yellow"/>
        </w:rPr>
        <w:t>Oral</w:t>
      </w:r>
    </w:p>
    <w:p w:rsidR="00D05DBC" w:rsidRPr="005605B6" w:rsidRDefault="00D05DBC" w:rsidP="00D05DBC">
      <w:pPr>
        <w:rPr>
          <w:highlight w:val="yellow"/>
        </w:rPr>
      </w:pPr>
      <w:r w:rsidRPr="005605B6">
        <w:rPr>
          <w:highlight w:val="yellow"/>
        </w:rPr>
        <w:t>Buccal</w:t>
      </w:r>
    </w:p>
    <w:p w:rsidR="00D05DBC" w:rsidRPr="005605B6" w:rsidRDefault="00D05DBC" w:rsidP="00D05DBC">
      <w:pPr>
        <w:rPr>
          <w:highlight w:val="yellow"/>
        </w:rPr>
      </w:pPr>
      <w:r w:rsidRPr="005605B6">
        <w:rPr>
          <w:highlight w:val="yellow"/>
        </w:rPr>
        <w:t>Sub-lingual</w:t>
      </w:r>
    </w:p>
    <w:p w:rsidR="00D05DBC" w:rsidRPr="005605B6" w:rsidRDefault="00D05DBC" w:rsidP="00D05DBC">
      <w:pPr>
        <w:rPr>
          <w:highlight w:val="yellow"/>
        </w:rPr>
      </w:pPr>
      <w:r w:rsidRPr="005605B6">
        <w:rPr>
          <w:highlight w:val="yellow"/>
        </w:rPr>
        <w:t>Rectal</w:t>
      </w:r>
    </w:p>
    <w:p w:rsidR="00D05DBC" w:rsidRPr="005605B6" w:rsidRDefault="00D05DBC" w:rsidP="00D05DBC">
      <w:pPr>
        <w:rPr>
          <w:highlight w:val="yellow"/>
        </w:rPr>
      </w:pPr>
      <w:r w:rsidRPr="005605B6">
        <w:rPr>
          <w:highlight w:val="yellow"/>
        </w:rPr>
        <w:t>Vaginal</w:t>
      </w:r>
    </w:p>
    <w:p w:rsidR="00D05DBC" w:rsidRPr="005605B6" w:rsidRDefault="00D05DBC" w:rsidP="00D05DBC">
      <w:pPr>
        <w:rPr>
          <w:highlight w:val="yellow"/>
        </w:rPr>
      </w:pPr>
      <w:r w:rsidRPr="005605B6">
        <w:rPr>
          <w:highlight w:val="yellow"/>
        </w:rPr>
        <w:t>Intrauterine</w:t>
      </w:r>
    </w:p>
    <w:p w:rsidR="00D05DBC" w:rsidRPr="005605B6" w:rsidRDefault="00D05DBC" w:rsidP="00D05DBC">
      <w:pPr>
        <w:rPr>
          <w:highlight w:val="yellow"/>
        </w:rPr>
      </w:pPr>
      <w:r w:rsidRPr="005605B6">
        <w:rPr>
          <w:highlight w:val="yellow"/>
        </w:rPr>
        <w:t>Extra-amniotic</w:t>
      </w:r>
    </w:p>
    <w:p w:rsidR="00757FA4" w:rsidRPr="005605B6" w:rsidRDefault="00757FA4" w:rsidP="00D05DBC">
      <w:pPr>
        <w:rPr>
          <w:highlight w:val="yellow"/>
        </w:rPr>
      </w:pPr>
      <w:r w:rsidRPr="005605B6">
        <w:rPr>
          <w:highlight w:val="yellow"/>
        </w:rPr>
        <w:t>Intra-vesical</w:t>
      </w:r>
    </w:p>
    <w:p w:rsidR="005605B6" w:rsidRPr="005605B6" w:rsidRDefault="005605B6" w:rsidP="005605B6">
      <w:pPr>
        <w:rPr>
          <w:highlight w:val="yellow"/>
        </w:rPr>
      </w:pPr>
      <w:r w:rsidRPr="005605B6">
        <w:rPr>
          <w:highlight w:val="yellow"/>
        </w:rPr>
        <w:t>Intra-cavernous</w:t>
      </w:r>
    </w:p>
    <w:p w:rsidR="005605B6" w:rsidRPr="005605B6" w:rsidRDefault="005605B6" w:rsidP="005605B6">
      <w:pPr>
        <w:rPr>
          <w:highlight w:val="yellow"/>
        </w:rPr>
      </w:pPr>
      <w:r w:rsidRPr="005605B6">
        <w:rPr>
          <w:highlight w:val="yellow"/>
        </w:rPr>
        <w:t>Urethral</w:t>
      </w:r>
    </w:p>
    <w:p w:rsidR="005605B6" w:rsidRPr="005605B6" w:rsidRDefault="005605B6" w:rsidP="005605B6">
      <w:pPr>
        <w:rPr>
          <w:highlight w:val="yellow"/>
        </w:rPr>
      </w:pPr>
      <w:r w:rsidRPr="005605B6">
        <w:rPr>
          <w:highlight w:val="yellow"/>
        </w:rPr>
        <w:t>Ocular (eye)</w:t>
      </w:r>
    </w:p>
    <w:p w:rsidR="005605B6" w:rsidRPr="005605B6" w:rsidRDefault="005605B6" w:rsidP="00D05DBC">
      <w:pPr>
        <w:rPr>
          <w:highlight w:val="yellow"/>
        </w:rPr>
      </w:pPr>
      <w:r w:rsidRPr="005605B6">
        <w:rPr>
          <w:highlight w:val="yellow"/>
        </w:rPr>
        <w:t>Intra-vitreal</w:t>
      </w:r>
    </w:p>
    <w:p w:rsidR="005605B6" w:rsidRPr="005605B6" w:rsidRDefault="005605B6" w:rsidP="005605B6">
      <w:pPr>
        <w:rPr>
          <w:highlight w:val="yellow"/>
        </w:rPr>
      </w:pPr>
      <w:r w:rsidRPr="005605B6">
        <w:rPr>
          <w:highlight w:val="yellow"/>
        </w:rPr>
        <w:t>Auricular / Otic (ear)</w:t>
      </w:r>
    </w:p>
    <w:p w:rsidR="005605B6" w:rsidRPr="005605B6" w:rsidRDefault="005605B6" w:rsidP="005605B6">
      <w:pPr>
        <w:rPr>
          <w:highlight w:val="yellow"/>
        </w:rPr>
      </w:pPr>
      <w:r w:rsidRPr="005605B6">
        <w:rPr>
          <w:highlight w:val="yellow"/>
        </w:rPr>
        <w:t>Transdermal</w:t>
      </w:r>
    </w:p>
    <w:p w:rsidR="00D05DBC" w:rsidRPr="005605B6" w:rsidRDefault="00D05DBC" w:rsidP="00D05DBC">
      <w:pPr>
        <w:rPr>
          <w:highlight w:val="yellow"/>
        </w:rPr>
      </w:pPr>
      <w:r w:rsidRPr="005605B6">
        <w:rPr>
          <w:highlight w:val="yellow"/>
        </w:rPr>
        <w:t>Iontophoresis</w:t>
      </w:r>
    </w:p>
    <w:p w:rsidR="00D05DBC" w:rsidRDefault="00D05DBC" w:rsidP="00D05DBC">
      <w:r w:rsidRPr="005605B6">
        <w:rPr>
          <w:highlight w:val="yellow"/>
        </w:rPr>
        <w:t>Phonophoresis</w:t>
      </w:r>
    </w:p>
    <w:p w:rsidR="00D05DBC" w:rsidRDefault="00D05DBC" w:rsidP="00D05DBC"/>
    <w:p w:rsidR="00A92836" w:rsidRDefault="00A92836" w:rsidP="00D05DBC"/>
    <w:sectPr w:rsidR="00A92836" w:rsidSect="00216B23">
      <w:pgSz w:w="11906" w:h="16838"/>
      <w:pgMar w:top="1440" w:right="1797" w:bottom="1440" w:left="1797" w:header="720" w:footer="85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C051B0" w:rsidRDefault="00C051B0" w:rsidP="00D72A4B">
      <w:r>
        <w:separator/>
      </w:r>
    </w:p>
  </w:endnote>
  <w:endnote w:type="continuationSeparator" w:id="0">
    <w:p w:rsidR="00C051B0" w:rsidRDefault="00C051B0" w:rsidP="00D72A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C051B0" w:rsidRDefault="00C051B0" w:rsidP="00D72A4B">
      <w:r>
        <w:separator/>
      </w:r>
    </w:p>
  </w:footnote>
  <w:footnote w:type="continuationSeparator" w:id="0">
    <w:p w:rsidR="00C051B0" w:rsidRDefault="00C051B0" w:rsidP="00D72A4B">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FB"/>
    <w:multiLevelType w:val="multilevel"/>
    <w:tmpl w:val="28CA421E"/>
    <w:lvl w:ilvl="0">
      <w:start w:val="1"/>
      <w:numFmt w:val="decimal"/>
      <w:pStyle w:val="Heading1"/>
      <w:lvlText w:val="%1."/>
      <w:legacy w:legacy="1" w:legacySpace="144" w:legacyIndent="0"/>
      <w:lvlJc w:val="left"/>
    </w:lvl>
    <w:lvl w:ilvl="1">
      <w:start w:val="1"/>
      <w:numFmt w:val="decimal"/>
      <w:pStyle w:val="Heading2"/>
      <w:lvlText w:val="%1.%2"/>
      <w:legacy w:legacy="1" w:legacySpace="144" w:legacyIndent="0"/>
      <w:lvlJc w:val="left"/>
    </w:lvl>
    <w:lvl w:ilvl="2">
      <w:start w:val="1"/>
      <w:numFmt w:val="decimal"/>
      <w:pStyle w:val="Heading3"/>
      <w:lvlText w:val="%1.%2.%3"/>
      <w:legacy w:legacy="1" w:legacySpace="144" w:legacyIndent="0"/>
      <w:lvlJc w:val="left"/>
    </w:lvl>
    <w:lvl w:ilvl="3">
      <w:start w:val="1"/>
      <w:numFmt w:val="decimal"/>
      <w:pStyle w:val="Heading4"/>
      <w:lvlText w:val="%1.%2.%3.%4"/>
      <w:legacy w:legacy="1" w:legacySpace="144" w:legacyIndent="0"/>
      <w:lvlJc w:val="left"/>
    </w:lvl>
    <w:lvl w:ilvl="4">
      <w:start w:val="1"/>
      <w:numFmt w:val="decimal"/>
      <w:pStyle w:val="Heading5"/>
      <w:lvlText w:val="%1.%2.%3.%4.%5"/>
      <w:legacy w:legacy="1" w:legacySpace="144" w:legacyIndent="0"/>
      <w:lvlJc w:val="left"/>
    </w:lvl>
    <w:lvl w:ilvl="5">
      <w:start w:val="1"/>
      <w:numFmt w:val="decimal"/>
      <w:pStyle w:val="Heading6"/>
      <w:lvlText w:val="%1.%2.%3.%4.%5.%6"/>
      <w:legacy w:legacy="1" w:legacySpace="144" w:legacyIndent="0"/>
      <w:lvlJc w:val="left"/>
    </w:lvl>
    <w:lvl w:ilvl="6">
      <w:start w:val="1"/>
      <w:numFmt w:val="decimal"/>
      <w:pStyle w:val="Heading7"/>
      <w:lvlText w:val="%1.%2.%3.%4.%5.%6.%7"/>
      <w:legacy w:legacy="1" w:legacySpace="144" w:legacyIndent="0"/>
      <w:lvlJc w:val="left"/>
    </w:lvl>
    <w:lvl w:ilvl="7">
      <w:start w:val="1"/>
      <w:numFmt w:val="decimal"/>
      <w:pStyle w:val="Heading8"/>
      <w:lvlText w:val="%1.%2.%3.%4.%5.%6.%7.%8"/>
      <w:legacy w:legacy="1" w:legacySpace="144" w:legacyIndent="0"/>
      <w:lvlJc w:val="left"/>
    </w:lvl>
    <w:lvl w:ilvl="8">
      <w:start w:val="1"/>
      <w:numFmt w:val="decimal"/>
      <w:pStyle w:val="Heading9"/>
      <w:lvlText w:val="%1.%2.%3.%4.%5.%6.%7.%8.%9"/>
      <w:legacy w:legacy="1" w:legacySpace="144" w:legacyIndent="0"/>
      <w:lvlJc w:val="left"/>
    </w:lvl>
  </w:abstractNum>
  <w:abstractNum w:abstractNumId="1">
    <w:nsid w:val="02691E92"/>
    <w:multiLevelType w:val="hybridMultilevel"/>
    <w:tmpl w:val="FDFAF37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0A772BC9"/>
    <w:multiLevelType w:val="hybridMultilevel"/>
    <w:tmpl w:val="E9CCFA28"/>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nsid w:val="0BB60077"/>
    <w:multiLevelType w:val="hybridMultilevel"/>
    <w:tmpl w:val="2228A57A"/>
    <w:lvl w:ilvl="0" w:tplc="08090001">
      <w:start w:val="1"/>
      <w:numFmt w:val="bullet"/>
      <w:lvlText w:val=""/>
      <w:lvlJc w:val="left"/>
      <w:pPr>
        <w:ind w:left="720" w:hanging="360"/>
      </w:pPr>
      <w:rPr>
        <w:rFonts w:ascii="Symbol" w:hAnsi="Symbol" w:hint="default"/>
      </w:rPr>
    </w:lvl>
    <w:lvl w:ilvl="1" w:tplc="BFF258FE">
      <w:numFmt w:val="bullet"/>
      <w:lvlText w:val="•"/>
      <w:lvlJc w:val="left"/>
      <w:pPr>
        <w:ind w:left="1800" w:hanging="720"/>
      </w:pPr>
      <w:rPr>
        <w:rFonts w:ascii="Calibri" w:eastAsiaTheme="minorHAnsi" w:hAnsi="Calibri" w:cstheme="minorBidi"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3880291"/>
    <w:multiLevelType w:val="hybridMultilevel"/>
    <w:tmpl w:val="34400CE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19963D02"/>
    <w:multiLevelType w:val="hybridMultilevel"/>
    <w:tmpl w:val="55724C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nsid w:val="1B1779D1"/>
    <w:multiLevelType w:val="hybridMultilevel"/>
    <w:tmpl w:val="42C055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288957E6"/>
    <w:multiLevelType w:val="hybridMultilevel"/>
    <w:tmpl w:val="2BB06F9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nsid w:val="28FF015A"/>
    <w:multiLevelType w:val="multilevel"/>
    <w:tmpl w:val="EE9C9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nsid w:val="2DD33E91"/>
    <w:multiLevelType w:val="hybridMultilevel"/>
    <w:tmpl w:val="13609A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2EB35277"/>
    <w:multiLevelType w:val="multilevel"/>
    <w:tmpl w:val="C580536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nsid w:val="2F894719"/>
    <w:multiLevelType w:val="hybridMultilevel"/>
    <w:tmpl w:val="B4D27CE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nsid w:val="311231CD"/>
    <w:multiLevelType w:val="multilevel"/>
    <w:tmpl w:val="7CFC5D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nsid w:val="333D77BA"/>
    <w:multiLevelType w:val="hybridMultilevel"/>
    <w:tmpl w:val="C5A2934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nsid w:val="3C1E7B38"/>
    <w:multiLevelType w:val="hybridMultilevel"/>
    <w:tmpl w:val="AFFAA5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nsid w:val="3F7D63E7"/>
    <w:multiLevelType w:val="hybridMultilevel"/>
    <w:tmpl w:val="A648BE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nsid w:val="46ED46B6"/>
    <w:multiLevelType w:val="hybridMultilevel"/>
    <w:tmpl w:val="E94837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nsid w:val="47DE4A0C"/>
    <w:multiLevelType w:val="multilevel"/>
    <w:tmpl w:val="EE9C9F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nsid w:val="4BA52AE9"/>
    <w:multiLevelType w:val="hybridMultilevel"/>
    <w:tmpl w:val="154679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4EBD6BAD"/>
    <w:multiLevelType w:val="hybridMultilevel"/>
    <w:tmpl w:val="4860E3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nsid w:val="4FCE578D"/>
    <w:multiLevelType w:val="hybridMultilevel"/>
    <w:tmpl w:val="DB26CC4C"/>
    <w:lvl w:ilvl="0" w:tplc="B6821728">
      <w:numFmt w:val="bullet"/>
      <w:lvlText w:val="•"/>
      <w:lvlJc w:val="left"/>
      <w:pPr>
        <w:ind w:left="1080" w:hanging="720"/>
      </w:pPr>
      <w:rPr>
        <w:rFonts w:ascii="Calibri" w:eastAsiaTheme="minorHAnsi" w:hAnsi="Calibri"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50633312"/>
    <w:multiLevelType w:val="hybridMultilevel"/>
    <w:tmpl w:val="095661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nsid w:val="51130408"/>
    <w:multiLevelType w:val="hybridMultilevel"/>
    <w:tmpl w:val="B73030E6"/>
    <w:lvl w:ilvl="0" w:tplc="08090001">
      <w:start w:val="1"/>
      <w:numFmt w:val="bullet"/>
      <w:lvlText w:val=""/>
      <w:lvlJc w:val="left"/>
      <w:pPr>
        <w:ind w:left="510" w:hanging="360"/>
      </w:pPr>
      <w:rPr>
        <w:rFonts w:ascii="Symbol" w:hAnsi="Symbol" w:hint="default"/>
      </w:rPr>
    </w:lvl>
    <w:lvl w:ilvl="1" w:tplc="08090003" w:tentative="1">
      <w:start w:val="1"/>
      <w:numFmt w:val="bullet"/>
      <w:lvlText w:val="o"/>
      <w:lvlJc w:val="left"/>
      <w:pPr>
        <w:ind w:left="1230" w:hanging="360"/>
      </w:pPr>
      <w:rPr>
        <w:rFonts w:ascii="Courier New" w:hAnsi="Courier New" w:cs="Courier New" w:hint="default"/>
      </w:rPr>
    </w:lvl>
    <w:lvl w:ilvl="2" w:tplc="08090005" w:tentative="1">
      <w:start w:val="1"/>
      <w:numFmt w:val="bullet"/>
      <w:lvlText w:val=""/>
      <w:lvlJc w:val="left"/>
      <w:pPr>
        <w:ind w:left="1950" w:hanging="360"/>
      </w:pPr>
      <w:rPr>
        <w:rFonts w:ascii="Wingdings" w:hAnsi="Wingdings" w:hint="default"/>
      </w:rPr>
    </w:lvl>
    <w:lvl w:ilvl="3" w:tplc="08090001" w:tentative="1">
      <w:start w:val="1"/>
      <w:numFmt w:val="bullet"/>
      <w:lvlText w:val=""/>
      <w:lvlJc w:val="left"/>
      <w:pPr>
        <w:ind w:left="2670" w:hanging="360"/>
      </w:pPr>
      <w:rPr>
        <w:rFonts w:ascii="Symbol" w:hAnsi="Symbol" w:hint="default"/>
      </w:rPr>
    </w:lvl>
    <w:lvl w:ilvl="4" w:tplc="08090003" w:tentative="1">
      <w:start w:val="1"/>
      <w:numFmt w:val="bullet"/>
      <w:lvlText w:val="o"/>
      <w:lvlJc w:val="left"/>
      <w:pPr>
        <w:ind w:left="3390" w:hanging="360"/>
      </w:pPr>
      <w:rPr>
        <w:rFonts w:ascii="Courier New" w:hAnsi="Courier New" w:cs="Courier New" w:hint="default"/>
      </w:rPr>
    </w:lvl>
    <w:lvl w:ilvl="5" w:tplc="08090005" w:tentative="1">
      <w:start w:val="1"/>
      <w:numFmt w:val="bullet"/>
      <w:lvlText w:val=""/>
      <w:lvlJc w:val="left"/>
      <w:pPr>
        <w:ind w:left="4110" w:hanging="360"/>
      </w:pPr>
      <w:rPr>
        <w:rFonts w:ascii="Wingdings" w:hAnsi="Wingdings" w:hint="default"/>
      </w:rPr>
    </w:lvl>
    <w:lvl w:ilvl="6" w:tplc="08090001" w:tentative="1">
      <w:start w:val="1"/>
      <w:numFmt w:val="bullet"/>
      <w:lvlText w:val=""/>
      <w:lvlJc w:val="left"/>
      <w:pPr>
        <w:ind w:left="4830" w:hanging="360"/>
      </w:pPr>
      <w:rPr>
        <w:rFonts w:ascii="Symbol" w:hAnsi="Symbol" w:hint="default"/>
      </w:rPr>
    </w:lvl>
    <w:lvl w:ilvl="7" w:tplc="08090003" w:tentative="1">
      <w:start w:val="1"/>
      <w:numFmt w:val="bullet"/>
      <w:lvlText w:val="o"/>
      <w:lvlJc w:val="left"/>
      <w:pPr>
        <w:ind w:left="5550" w:hanging="360"/>
      </w:pPr>
      <w:rPr>
        <w:rFonts w:ascii="Courier New" w:hAnsi="Courier New" w:cs="Courier New" w:hint="default"/>
      </w:rPr>
    </w:lvl>
    <w:lvl w:ilvl="8" w:tplc="08090005" w:tentative="1">
      <w:start w:val="1"/>
      <w:numFmt w:val="bullet"/>
      <w:lvlText w:val=""/>
      <w:lvlJc w:val="left"/>
      <w:pPr>
        <w:ind w:left="6270" w:hanging="360"/>
      </w:pPr>
      <w:rPr>
        <w:rFonts w:ascii="Wingdings" w:hAnsi="Wingdings" w:hint="default"/>
      </w:rPr>
    </w:lvl>
  </w:abstractNum>
  <w:abstractNum w:abstractNumId="23">
    <w:nsid w:val="53C74B87"/>
    <w:multiLevelType w:val="hybridMultilevel"/>
    <w:tmpl w:val="72FA5754"/>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4">
    <w:nsid w:val="57D8304A"/>
    <w:multiLevelType w:val="hybridMultilevel"/>
    <w:tmpl w:val="88B6115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5BB6119C"/>
    <w:multiLevelType w:val="hybridMultilevel"/>
    <w:tmpl w:val="9582127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nsid w:val="61287705"/>
    <w:multiLevelType w:val="hybridMultilevel"/>
    <w:tmpl w:val="93E413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nsid w:val="62E52417"/>
    <w:multiLevelType w:val="hybridMultilevel"/>
    <w:tmpl w:val="900A7C4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62F94583"/>
    <w:multiLevelType w:val="hybridMultilevel"/>
    <w:tmpl w:val="02FCCE3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5CD2BF3"/>
    <w:multiLevelType w:val="hybridMultilevel"/>
    <w:tmpl w:val="6FFA606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nsid w:val="6A7D7AFC"/>
    <w:multiLevelType w:val="hybridMultilevel"/>
    <w:tmpl w:val="41D4E7DE"/>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nsid w:val="703A330D"/>
    <w:multiLevelType w:val="hybridMultilevel"/>
    <w:tmpl w:val="7A5A592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756875D5"/>
    <w:multiLevelType w:val="hybridMultilevel"/>
    <w:tmpl w:val="6A40839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3">
    <w:nsid w:val="76852ADD"/>
    <w:multiLevelType w:val="hybridMultilevel"/>
    <w:tmpl w:val="92F2CC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nsid w:val="76E63794"/>
    <w:multiLevelType w:val="hybridMultilevel"/>
    <w:tmpl w:val="F49A785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nsid w:val="78F92D3D"/>
    <w:multiLevelType w:val="hybridMultilevel"/>
    <w:tmpl w:val="87DEBC6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nsid w:val="7A2537CD"/>
    <w:multiLevelType w:val="hybridMultilevel"/>
    <w:tmpl w:val="ECA401B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 w:numId="2">
    <w:abstractNumId w:val="3"/>
  </w:num>
  <w:num w:numId="3">
    <w:abstractNumId w:val="15"/>
  </w:num>
  <w:num w:numId="4">
    <w:abstractNumId w:val="16"/>
  </w:num>
  <w:num w:numId="5">
    <w:abstractNumId w:val="4"/>
  </w:num>
  <w:num w:numId="6">
    <w:abstractNumId w:val="10"/>
  </w:num>
  <w:num w:numId="7">
    <w:abstractNumId w:val="1"/>
  </w:num>
  <w:num w:numId="8">
    <w:abstractNumId w:val="27"/>
  </w:num>
  <w:num w:numId="9">
    <w:abstractNumId w:val="7"/>
  </w:num>
  <w:num w:numId="10">
    <w:abstractNumId w:val="26"/>
  </w:num>
  <w:num w:numId="11">
    <w:abstractNumId w:val="14"/>
  </w:num>
  <w:num w:numId="12">
    <w:abstractNumId w:val="34"/>
  </w:num>
  <w:num w:numId="13">
    <w:abstractNumId w:val="6"/>
  </w:num>
  <w:num w:numId="14">
    <w:abstractNumId w:val="2"/>
  </w:num>
  <w:num w:numId="15">
    <w:abstractNumId w:val="19"/>
  </w:num>
  <w:num w:numId="16">
    <w:abstractNumId w:val="36"/>
  </w:num>
  <w:num w:numId="17">
    <w:abstractNumId w:val="32"/>
  </w:num>
  <w:num w:numId="18">
    <w:abstractNumId w:val="35"/>
  </w:num>
  <w:num w:numId="19">
    <w:abstractNumId w:val="20"/>
  </w:num>
  <w:num w:numId="20">
    <w:abstractNumId w:val="24"/>
  </w:num>
  <w:num w:numId="21">
    <w:abstractNumId w:val="33"/>
  </w:num>
  <w:num w:numId="22">
    <w:abstractNumId w:val="30"/>
  </w:num>
  <w:num w:numId="23">
    <w:abstractNumId w:val="5"/>
  </w:num>
  <w:num w:numId="24">
    <w:abstractNumId w:val="13"/>
  </w:num>
  <w:num w:numId="25">
    <w:abstractNumId w:val="18"/>
  </w:num>
  <w:num w:numId="26">
    <w:abstractNumId w:val="23"/>
  </w:num>
  <w:num w:numId="27">
    <w:abstractNumId w:val="28"/>
  </w:num>
  <w:num w:numId="28">
    <w:abstractNumId w:val="11"/>
  </w:num>
  <w:num w:numId="29">
    <w:abstractNumId w:val="9"/>
  </w:num>
  <w:num w:numId="30">
    <w:abstractNumId w:val="25"/>
  </w:num>
  <w:num w:numId="31">
    <w:abstractNumId w:val="21"/>
  </w:num>
  <w:num w:numId="32">
    <w:abstractNumId w:val="31"/>
  </w:num>
  <w:num w:numId="33">
    <w:abstractNumId w:val="29"/>
  </w:num>
  <w:num w:numId="34">
    <w:abstractNumId w:val="12"/>
  </w:num>
  <w:num w:numId="35">
    <w:abstractNumId w:val="8"/>
  </w:num>
  <w:num w:numId="36">
    <w:abstractNumId w:val="22"/>
  </w:num>
  <w:num w:numId="37">
    <w:abstractNumId w:val="17"/>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activeWritingStyle w:appName="MSWord" w:lang="en-GB" w:vendorID="8"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doNotShadeFormData/>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dgnword-docGUID" w:val="{6968E188-2E63-4B19-94B2-00AC883DF647}"/>
    <w:docVar w:name="dgnword-eventsink" w:val="167311520"/>
  </w:docVars>
  <w:rsids>
    <w:rsidRoot w:val="00EF66B6"/>
    <w:rsid w:val="00002CA9"/>
    <w:rsid w:val="0000322A"/>
    <w:rsid w:val="00011777"/>
    <w:rsid w:val="00020C60"/>
    <w:rsid w:val="00032A31"/>
    <w:rsid w:val="0004173B"/>
    <w:rsid w:val="00043ADE"/>
    <w:rsid w:val="00046200"/>
    <w:rsid w:val="000473FB"/>
    <w:rsid w:val="0005189E"/>
    <w:rsid w:val="00053AC4"/>
    <w:rsid w:val="0005481E"/>
    <w:rsid w:val="00054E94"/>
    <w:rsid w:val="00055A25"/>
    <w:rsid w:val="00061323"/>
    <w:rsid w:val="00063746"/>
    <w:rsid w:val="00065204"/>
    <w:rsid w:val="00065C4C"/>
    <w:rsid w:val="000660C5"/>
    <w:rsid w:val="0006613F"/>
    <w:rsid w:val="00066294"/>
    <w:rsid w:val="0007515A"/>
    <w:rsid w:val="00081048"/>
    <w:rsid w:val="00082D90"/>
    <w:rsid w:val="00085B17"/>
    <w:rsid w:val="00096421"/>
    <w:rsid w:val="0009738D"/>
    <w:rsid w:val="000A22CD"/>
    <w:rsid w:val="000A53A0"/>
    <w:rsid w:val="000B67B9"/>
    <w:rsid w:val="000B7D8C"/>
    <w:rsid w:val="000B7FD7"/>
    <w:rsid w:val="000C6AEE"/>
    <w:rsid w:val="000D6BC5"/>
    <w:rsid w:val="000D785F"/>
    <w:rsid w:val="000E0224"/>
    <w:rsid w:val="000E1117"/>
    <w:rsid w:val="000E2AFC"/>
    <w:rsid w:val="000E508C"/>
    <w:rsid w:val="000F4757"/>
    <w:rsid w:val="000F4A0B"/>
    <w:rsid w:val="000F537A"/>
    <w:rsid w:val="00101533"/>
    <w:rsid w:val="00103C9B"/>
    <w:rsid w:val="00113F17"/>
    <w:rsid w:val="00114B46"/>
    <w:rsid w:val="00122DD6"/>
    <w:rsid w:val="00132020"/>
    <w:rsid w:val="0013203D"/>
    <w:rsid w:val="00132204"/>
    <w:rsid w:val="00132E38"/>
    <w:rsid w:val="00140F39"/>
    <w:rsid w:val="001414C2"/>
    <w:rsid w:val="00151339"/>
    <w:rsid w:val="00154DC9"/>
    <w:rsid w:val="00155601"/>
    <w:rsid w:val="0016168C"/>
    <w:rsid w:val="0016228B"/>
    <w:rsid w:val="001719F1"/>
    <w:rsid w:val="00176BB3"/>
    <w:rsid w:val="0018792B"/>
    <w:rsid w:val="001A1176"/>
    <w:rsid w:val="001A3823"/>
    <w:rsid w:val="001A5C79"/>
    <w:rsid w:val="001C6F15"/>
    <w:rsid w:val="001D0C89"/>
    <w:rsid w:val="001D2788"/>
    <w:rsid w:val="001E0D26"/>
    <w:rsid w:val="001E282C"/>
    <w:rsid w:val="00203F24"/>
    <w:rsid w:val="00215388"/>
    <w:rsid w:val="002160E8"/>
    <w:rsid w:val="00216B23"/>
    <w:rsid w:val="002203FD"/>
    <w:rsid w:val="00220DA6"/>
    <w:rsid w:val="00237E65"/>
    <w:rsid w:val="002450DE"/>
    <w:rsid w:val="002601CD"/>
    <w:rsid w:val="002609AC"/>
    <w:rsid w:val="002619DC"/>
    <w:rsid w:val="00265259"/>
    <w:rsid w:val="0026614F"/>
    <w:rsid w:val="00283ABB"/>
    <w:rsid w:val="00284E78"/>
    <w:rsid w:val="0028798F"/>
    <w:rsid w:val="0029385B"/>
    <w:rsid w:val="00293BED"/>
    <w:rsid w:val="00294D4C"/>
    <w:rsid w:val="002A1A48"/>
    <w:rsid w:val="002A31DB"/>
    <w:rsid w:val="002A4F94"/>
    <w:rsid w:val="002A595C"/>
    <w:rsid w:val="002B7ED9"/>
    <w:rsid w:val="002C2DBD"/>
    <w:rsid w:val="002C3568"/>
    <w:rsid w:val="002D0AB7"/>
    <w:rsid w:val="002D5103"/>
    <w:rsid w:val="002E3559"/>
    <w:rsid w:val="002F29F6"/>
    <w:rsid w:val="002F4490"/>
    <w:rsid w:val="002F7F54"/>
    <w:rsid w:val="0030237A"/>
    <w:rsid w:val="00323DB8"/>
    <w:rsid w:val="00324A57"/>
    <w:rsid w:val="00326D7E"/>
    <w:rsid w:val="00327658"/>
    <w:rsid w:val="00327A0B"/>
    <w:rsid w:val="003378DF"/>
    <w:rsid w:val="00341B24"/>
    <w:rsid w:val="003427F6"/>
    <w:rsid w:val="003506FC"/>
    <w:rsid w:val="003576A9"/>
    <w:rsid w:val="00360176"/>
    <w:rsid w:val="0036167A"/>
    <w:rsid w:val="00363D7B"/>
    <w:rsid w:val="003672E2"/>
    <w:rsid w:val="00382DCF"/>
    <w:rsid w:val="003869FB"/>
    <w:rsid w:val="003972FF"/>
    <w:rsid w:val="003A08C9"/>
    <w:rsid w:val="003A66EB"/>
    <w:rsid w:val="003B7EE1"/>
    <w:rsid w:val="003C0267"/>
    <w:rsid w:val="003C1C9C"/>
    <w:rsid w:val="003C35A3"/>
    <w:rsid w:val="003C7552"/>
    <w:rsid w:val="003D2330"/>
    <w:rsid w:val="003D7D31"/>
    <w:rsid w:val="003F14A9"/>
    <w:rsid w:val="003F1DEB"/>
    <w:rsid w:val="003F2A33"/>
    <w:rsid w:val="003F69BD"/>
    <w:rsid w:val="00400D7E"/>
    <w:rsid w:val="00401BAE"/>
    <w:rsid w:val="00405D1E"/>
    <w:rsid w:val="00405E6F"/>
    <w:rsid w:val="00412DDC"/>
    <w:rsid w:val="0041422F"/>
    <w:rsid w:val="004164D4"/>
    <w:rsid w:val="004165D8"/>
    <w:rsid w:val="004214C3"/>
    <w:rsid w:val="00422BBC"/>
    <w:rsid w:val="004330DE"/>
    <w:rsid w:val="00444BF7"/>
    <w:rsid w:val="00454633"/>
    <w:rsid w:val="004569EB"/>
    <w:rsid w:val="00464E92"/>
    <w:rsid w:val="00474CA6"/>
    <w:rsid w:val="00474E08"/>
    <w:rsid w:val="0048745B"/>
    <w:rsid w:val="00496422"/>
    <w:rsid w:val="00496EB5"/>
    <w:rsid w:val="004A068A"/>
    <w:rsid w:val="004A540F"/>
    <w:rsid w:val="004B0A05"/>
    <w:rsid w:val="004B3A9E"/>
    <w:rsid w:val="004C0AFF"/>
    <w:rsid w:val="004C44A0"/>
    <w:rsid w:val="004D053A"/>
    <w:rsid w:val="004E384D"/>
    <w:rsid w:val="004E5688"/>
    <w:rsid w:val="004E6290"/>
    <w:rsid w:val="004E6A60"/>
    <w:rsid w:val="00501E80"/>
    <w:rsid w:val="00512B22"/>
    <w:rsid w:val="00525151"/>
    <w:rsid w:val="00533A03"/>
    <w:rsid w:val="00534F61"/>
    <w:rsid w:val="005441B3"/>
    <w:rsid w:val="0054770D"/>
    <w:rsid w:val="00553182"/>
    <w:rsid w:val="005605B6"/>
    <w:rsid w:val="00572020"/>
    <w:rsid w:val="00574F9D"/>
    <w:rsid w:val="0059159E"/>
    <w:rsid w:val="005945B3"/>
    <w:rsid w:val="005A01AE"/>
    <w:rsid w:val="005A5973"/>
    <w:rsid w:val="005A6773"/>
    <w:rsid w:val="005B360A"/>
    <w:rsid w:val="005C6654"/>
    <w:rsid w:val="005C7587"/>
    <w:rsid w:val="005E0DAA"/>
    <w:rsid w:val="005F2749"/>
    <w:rsid w:val="005F4AC6"/>
    <w:rsid w:val="005F58D7"/>
    <w:rsid w:val="005F6C54"/>
    <w:rsid w:val="00601143"/>
    <w:rsid w:val="00603EA9"/>
    <w:rsid w:val="00611413"/>
    <w:rsid w:val="006116B5"/>
    <w:rsid w:val="00621DD8"/>
    <w:rsid w:val="00634549"/>
    <w:rsid w:val="00635E9B"/>
    <w:rsid w:val="006426E3"/>
    <w:rsid w:val="00644E03"/>
    <w:rsid w:val="0065342D"/>
    <w:rsid w:val="006620D1"/>
    <w:rsid w:val="00665CD0"/>
    <w:rsid w:val="0067116E"/>
    <w:rsid w:val="00680D57"/>
    <w:rsid w:val="00681E84"/>
    <w:rsid w:val="00686054"/>
    <w:rsid w:val="00692DAB"/>
    <w:rsid w:val="00694E25"/>
    <w:rsid w:val="00695536"/>
    <w:rsid w:val="006C5AB6"/>
    <w:rsid w:val="006C7A42"/>
    <w:rsid w:val="006E4AE1"/>
    <w:rsid w:val="00706D62"/>
    <w:rsid w:val="007149BF"/>
    <w:rsid w:val="00721639"/>
    <w:rsid w:val="00731F8B"/>
    <w:rsid w:val="007324EC"/>
    <w:rsid w:val="00742DBE"/>
    <w:rsid w:val="0074438C"/>
    <w:rsid w:val="00744526"/>
    <w:rsid w:val="007455D7"/>
    <w:rsid w:val="007464D8"/>
    <w:rsid w:val="00752A01"/>
    <w:rsid w:val="00757FA4"/>
    <w:rsid w:val="0076619D"/>
    <w:rsid w:val="007663BA"/>
    <w:rsid w:val="0076715D"/>
    <w:rsid w:val="0076719D"/>
    <w:rsid w:val="007746FE"/>
    <w:rsid w:val="007841BA"/>
    <w:rsid w:val="00784238"/>
    <w:rsid w:val="00785D44"/>
    <w:rsid w:val="00791B64"/>
    <w:rsid w:val="00796A67"/>
    <w:rsid w:val="007A10C1"/>
    <w:rsid w:val="007A37BD"/>
    <w:rsid w:val="007A4E08"/>
    <w:rsid w:val="007B0413"/>
    <w:rsid w:val="007B53A7"/>
    <w:rsid w:val="007C18BC"/>
    <w:rsid w:val="007D18FC"/>
    <w:rsid w:val="007D7C67"/>
    <w:rsid w:val="007F143E"/>
    <w:rsid w:val="007F3F8F"/>
    <w:rsid w:val="00804052"/>
    <w:rsid w:val="00806016"/>
    <w:rsid w:val="00811D90"/>
    <w:rsid w:val="00814CA6"/>
    <w:rsid w:val="0081575A"/>
    <w:rsid w:val="008205C6"/>
    <w:rsid w:val="0082109B"/>
    <w:rsid w:val="0082515D"/>
    <w:rsid w:val="00837F2E"/>
    <w:rsid w:val="00852C63"/>
    <w:rsid w:val="00854C68"/>
    <w:rsid w:val="008677B6"/>
    <w:rsid w:val="00872890"/>
    <w:rsid w:val="008830B4"/>
    <w:rsid w:val="00885124"/>
    <w:rsid w:val="00885C98"/>
    <w:rsid w:val="008A2BB3"/>
    <w:rsid w:val="008C31F2"/>
    <w:rsid w:val="008C78AD"/>
    <w:rsid w:val="008D3C57"/>
    <w:rsid w:val="008E63C0"/>
    <w:rsid w:val="008E67A6"/>
    <w:rsid w:val="008F15E3"/>
    <w:rsid w:val="009069B1"/>
    <w:rsid w:val="00910A8E"/>
    <w:rsid w:val="00910E56"/>
    <w:rsid w:val="00914261"/>
    <w:rsid w:val="009165C2"/>
    <w:rsid w:val="00917B1A"/>
    <w:rsid w:val="00920589"/>
    <w:rsid w:val="00931F80"/>
    <w:rsid w:val="00932603"/>
    <w:rsid w:val="009372D7"/>
    <w:rsid w:val="00940C8A"/>
    <w:rsid w:val="009421A9"/>
    <w:rsid w:val="0094626D"/>
    <w:rsid w:val="0094666E"/>
    <w:rsid w:val="00951BCA"/>
    <w:rsid w:val="00953D31"/>
    <w:rsid w:val="009733AD"/>
    <w:rsid w:val="00980430"/>
    <w:rsid w:val="009835CC"/>
    <w:rsid w:val="00986078"/>
    <w:rsid w:val="0098651B"/>
    <w:rsid w:val="0098757A"/>
    <w:rsid w:val="00992F45"/>
    <w:rsid w:val="009A43CC"/>
    <w:rsid w:val="009A6EF7"/>
    <w:rsid w:val="009C6B59"/>
    <w:rsid w:val="009C7A8D"/>
    <w:rsid w:val="009E6616"/>
    <w:rsid w:val="00A0106F"/>
    <w:rsid w:val="00A04136"/>
    <w:rsid w:val="00A061B6"/>
    <w:rsid w:val="00A1145F"/>
    <w:rsid w:val="00A20489"/>
    <w:rsid w:val="00A23693"/>
    <w:rsid w:val="00A31177"/>
    <w:rsid w:val="00A322B8"/>
    <w:rsid w:val="00A32D76"/>
    <w:rsid w:val="00A42106"/>
    <w:rsid w:val="00A425D2"/>
    <w:rsid w:val="00A428D9"/>
    <w:rsid w:val="00A43015"/>
    <w:rsid w:val="00A437BD"/>
    <w:rsid w:val="00A4484B"/>
    <w:rsid w:val="00A54E8A"/>
    <w:rsid w:val="00A652A7"/>
    <w:rsid w:val="00A7134D"/>
    <w:rsid w:val="00A81932"/>
    <w:rsid w:val="00A8465C"/>
    <w:rsid w:val="00A85869"/>
    <w:rsid w:val="00A86D79"/>
    <w:rsid w:val="00A92836"/>
    <w:rsid w:val="00AA093C"/>
    <w:rsid w:val="00AA288A"/>
    <w:rsid w:val="00AA3592"/>
    <w:rsid w:val="00AC5083"/>
    <w:rsid w:val="00AD545A"/>
    <w:rsid w:val="00AD5DCC"/>
    <w:rsid w:val="00AE0843"/>
    <w:rsid w:val="00AE08C3"/>
    <w:rsid w:val="00AE1532"/>
    <w:rsid w:val="00AE4871"/>
    <w:rsid w:val="00AE5618"/>
    <w:rsid w:val="00AE5B06"/>
    <w:rsid w:val="00AE653B"/>
    <w:rsid w:val="00B05B96"/>
    <w:rsid w:val="00B22964"/>
    <w:rsid w:val="00B2668E"/>
    <w:rsid w:val="00B34631"/>
    <w:rsid w:val="00B36134"/>
    <w:rsid w:val="00B366DF"/>
    <w:rsid w:val="00B408CF"/>
    <w:rsid w:val="00B44838"/>
    <w:rsid w:val="00B5011E"/>
    <w:rsid w:val="00B5073C"/>
    <w:rsid w:val="00B510CC"/>
    <w:rsid w:val="00B5175A"/>
    <w:rsid w:val="00B66D53"/>
    <w:rsid w:val="00B7277C"/>
    <w:rsid w:val="00B83CA3"/>
    <w:rsid w:val="00B85F0B"/>
    <w:rsid w:val="00BA22A0"/>
    <w:rsid w:val="00BA31A8"/>
    <w:rsid w:val="00BA3B39"/>
    <w:rsid w:val="00BA57E7"/>
    <w:rsid w:val="00BA780B"/>
    <w:rsid w:val="00BB17A7"/>
    <w:rsid w:val="00BB575D"/>
    <w:rsid w:val="00BB616F"/>
    <w:rsid w:val="00BC1D2E"/>
    <w:rsid w:val="00BC2DC2"/>
    <w:rsid w:val="00BD2C9D"/>
    <w:rsid w:val="00BD4545"/>
    <w:rsid w:val="00BE06D8"/>
    <w:rsid w:val="00BE276E"/>
    <w:rsid w:val="00BE2D4A"/>
    <w:rsid w:val="00BF6379"/>
    <w:rsid w:val="00C01158"/>
    <w:rsid w:val="00C051B0"/>
    <w:rsid w:val="00C130E6"/>
    <w:rsid w:val="00C15926"/>
    <w:rsid w:val="00C24039"/>
    <w:rsid w:val="00C24E6A"/>
    <w:rsid w:val="00C27D97"/>
    <w:rsid w:val="00C34EAC"/>
    <w:rsid w:val="00C375BC"/>
    <w:rsid w:val="00C43FC3"/>
    <w:rsid w:val="00C441BA"/>
    <w:rsid w:val="00C5279B"/>
    <w:rsid w:val="00C62599"/>
    <w:rsid w:val="00C64686"/>
    <w:rsid w:val="00C6655A"/>
    <w:rsid w:val="00C6780E"/>
    <w:rsid w:val="00C73C6D"/>
    <w:rsid w:val="00C80B13"/>
    <w:rsid w:val="00C8790A"/>
    <w:rsid w:val="00C906A8"/>
    <w:rsid w:val="00C930D3"/>
    <w:rsid w:val="00C97BD4"/>
    <w:rsid w:val="00CA02BC"/>
    <w:rsid w:val="00CA3101"/>
    <w:rsid w:val="00CA400E"/>
    <w:rsid w:val="00CB067E"/>
    <w:rsid w:val="00CD3394"/>
    <w:rsid w:val="00CD47DB"/>
    <w:rsid w:val="00CD4EE9"/>
    <w:rsid w:val="00CD7E59"/>
    <w:rsid w:val="00CE2209"/>
    <w:rsid w:val="00CE2CD1"/>
    <w:rsid w:val="00CE3A5A"/>
    <w:rsid w:val="00CF03C1"/>
    <w:rsid w:val="00CF254C"/>
    <w:rsid w:val="00CF48EA"/>
    <w:rsid w:val="00D030DE"/>
    <w:rsid w:val="00D05DBC"/>
    <w:rsid w:val="00D073DF"/>
    <w:rsid w:val="00D07DC9"/>
    <w:rsid w:val="00D170BA"/>
    <w:rsid w:val="00D207A8"/>
    <w:rsid w:val="00D240AC"/>
    <w:rsid w:val="00D26F92"/>
    <w:rsid w:val="00D32113"/>
    <w:rsid w:val="00D33A19"/>
    <w:rsid w:val="00D37942"/>
    <w:rsid w:val="00D42D47"/>
    <w:rsid w:val="00D70651"/>
    <w:rsid w:val="00D708FD"/>
    <w:rsid w:val="00D71CE7"/>
    <w:rsid w:val="00D72A4B"/>
    <w:rsid w:val="00D841A3"/>
    <w:rsid w:val="00D84ABF"/>
    <w:rsid w:val="00DA1D31"/>
    <w:rsid w:val="00DA5BE5"/>
    <w:rsid w:val="00DB108F"/>
    <w:rsid w:val="00DD58AC"/>
    <w:rsid w:val="00DE7251"/>
    <w:rsid w:val="00E02356"/>
    <w:rsid w:val="00E03E01"/>
    <w:rsid w:val="00E03F35"/>
    <w:rsid w:val="00E04E63"/>
    <w:rsid w:val="00E065A3"/>
    <w:rsid w:val="00E10703"/>
    <w:rsid w:val="00E30201"/>
    <w:rsid w:val="00E31BF4"/>
    <w:rsid w:val="00E35D4A"/>
    <w:rsid w:val="00E36ED4"/>
    <w:rsid w:val="00E4414E"/>
    <w:rsid w:val="00E47772"/>
    <w:rsid w:val="00E51B59"/>
    <w:rsid w:val="00E57671"/>
    <w:rsid w:val="00E6013F"/>
    <w:rsid w:val="00E6057F"/>
    <w:rsid w:val="00E61581"/>
    <w:rsid w:val="00E61696"/>
    <w:rsid w:val="00E715E6"/>
    <w:rsid w:val="00E72FED"/>
    <w:rsid w:val="00E91C9E"/>
    <w:rsid w:val="00E9520C"/>
    <w:rsid w:val="00E97F19"/>
    <w:rsid w:val="00EB1C75"/>
    <w:rsid w:val="00EC07F4"/>
    <w:rsid w:val="00EC3E87"/>
    <w:rsid w:val="00EC53E2"/>
    <w:rsid w:val="00EC560A"/>
    <w:rsid w:val="00EC5E25"/>
    <w:rsid w:val="00EE084A"/>
    <w:rsid w:val="00EF0E80"/>
    <w:rsid w:val="00EF66B6"/>
    <w:rsid w:val="00EF74A8"/>
    <w:rsid w:val="00F01667"/>
    <w:rsid w:val="00F10388"/>
    <w:rsid w:val="00F25432"/>
    <w:rsid w:val="00F473E6"/>
    <w:rsid w:val="00F51FA9"/>
    <w:rsid w:val="00F62AAC"/>
    <w:rsid w:val="00F6576C"/>
    <w:rsid w:val="00F733D2"/>
    <w:rsid w:val="00F76260"/>
    <w:rsid w:val="00F90321"/>
    <w:rsid w:val="00F90A6D"/>
    <w:rsid w:val="00F9446D"/>
    <w:rsid w:val="00FA2658"/>
    <w:rsid w:val="00FC7BE2"/>
    <w:rsid w:val="00FD751D"/>
    <w:rsid w:val="00FE061D"/>
    <w:rsid w:val="00FE3F43"/>
    <w:rsid w:val="00FE5EBA"/>
    <w:rsid w:val="00FF54C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84E5F394-43D4-4FA7-B48E-F8C695ACE1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72A4B"/>
    <w:rPr>
      <w:rFonts w:asciiTheme="minorHAnsi" w:eastAsiaTheme="minorHAnsi" w:hAnsiTheme="minorHAnsi" w:cstheme="minorBidi"/>
      <w:sz w:val="22"/>
      <w:szCs w:val="22"/>
      <w:lang w:eastAsia="en-US"/>
    </w:rPr>
  </w:style>
  <w:style w:type="paragraph" w:styleId="Heading1">
    <w:name w:val="heading 1"/>
    <w:next w:val="Normal"/>
    <w:qFormat/>
    <w:rsid w:val="00063746"/>
    <w:pPr>
      <w:numPr>
        <w:numId w:val="1"/>
      </w:numPr>
      <w:spacing w:before="240"/>
      <w:outlineLvl w:val="0"/>
    </w:pPr>
    <w:rPr>
      <w:rFonts w:ascii="Arial" w:hAnsi="Arial"/>
      <w:b/>
      <w:sz w:val="32"/>
      <w:szCs w:val="32"/>
      <w:lang w:eastAsia="en-US"/>
    </w:rPr>
  </w:style>
  <w:style w:type="paragraph" w:styleId="Heading2">
    <w:name w:val="heading 2"/>
    <w:next w:val="Normal"/>
    <w:qFormat/>
    <w:rsid w:val="00F10388"/>
    <w:pPr>
      <w:numPr>
        <w:ilvl w:val="1"/>
        <w:numId w:val="1"/>
      </w:numPr>
      <w:spacing w:before="120"/>
      <w:outlineLvl w:val="1"/>
    </w:pPr>
    <w:rPr>
      <w:rFonts w:ascii="Arial" w:hAnsi="Arial"/>
      <w:sz w:val="32"/>
      <w:szCs w:val="32"/>
      <w:lang w:eastAsia="en-US"/>
    </w:rPr>
  </w:style>
  <w:style w:type="paragraph" w:styleId="Heading3">
    <w:name w:val="heading 3"/>
    <w:next w:val="Normal"/>
    <w:qFormat/>
    <w:rsid w:val="00634549"/>
    <w:pPr>
      <w:numPr>
        <w:ilvl w:val="2"/>
        <w:numId w:val="1"/>
      </w:numPr>
      <w:outlineLvl w:val="2"/>
    </w:pPr>
    <w:rPr>
      <w:rFonts w:ascii="Arial" w:hAnsi="Arial"/>
      <w:sz w:val="24"/>
      <w:szCs w:val="24"/>
      <w:lang w:eastAsia="en-US"/>
    </w:rPr>
  </w:style>
  <w:style w:type="paragraph" w:styleId="Heading4">
    <w:name w:val="heading 4"/>
    <w:basedOn w:val="Normal"/>
    <w:next w:val="Normal"/>
    <w:qFormat/>
    <w:rsid w:val="00063746"/>
    <w:pPr>
      <w:keepNext/>
      <w:numPr>
        <w:ilvl w:val="3"/>
        <w:numId w:val="1"/>
      </w:numPr>
      <w:spacing w:before="240" w:after="60"/>
      <w:outlineLvl w:val="3"/>
    </w:pPr>
    <w:rPr>
      <w:rFonts w:cs="Arial"/>
      <w:i/>
      <w:sz w:val="24"/>
    </w:rPr>
  </w:style>
  <w:style w:type="paragraph" w:styleId="Heading5">
    <w:name w:val="heading 5"/>
    <w:basedOn w:val="Normal"/>
    <w:next w:val="Normal"/>
    <w:qFormat/>
    <w:pPr>
      <w:numPr>
        <w:ilvl w:val="4"/>
        <w:numId w:val="1"/>
      </w:numPr>
      <w:spacing w:before="240" w:after="60"/>
      <w:outlineLvl w:val="4"/>
    </w:pPr>
  </w:style>
  <w:style w:type="paragraph" w:styleId="Heading6">
    <w:name w:val="heading 6"/>
    <w:basedOn w:val="Normal"/>
    <w:next w:val="Normal"/>
    <w:qFormat/>
    <w:pPr>
      <w:numPr>
        <w:ilvl w:val="5"/>
        <w:numId w:val="1"/>
      </w:numPr>
      <w:spacing w:before="240" w:after="60"/>
      <w:outlineLvl w:val="5"/>
    </w:pPr>
    <w:rPr>
      <w:i/>
    </w:rPr>
  </w:style>
  <w:style w:type="paragraph" w:styleId="Heading7">
    <w:name w:val="heading 7"/>
    <w:basedOn w:val="Normal"/>
    <w:next w:val="Normal"/>
    <w:qFormat/>
    <w:pPr>
      <w:numPr>
        <w:ilvl w:val="6"/>
        <w:numId w:val="1"/>
      </w:numPr>
      <w:spacing w:before="240" w:after="60"/>
      <w:outlineLvl w:val="6"/>
    </w:pPr>
  </w:style>
  <w:style w:type="paragraph" w:styleId="Heading8">
    <w:name w:val="heading 8"/>
    <w:basedOn w:val="Normal"/>
    <w:next w:val="Normal"/>
    <w:qFormat/>
    <w:pPr>
      <w:numPr>
        <w:ilvl w:val="7"/>
        <w:numId w:val="1"/>
      </w:numPr>
      <w:spacing w:before="240" w:after="60"/>
      <w:outlineLvl w:val="7"/>
    </w:pPr>
    <w:rPr>
      <w:i/>
    </w:rPr>
  </w:style>
  <w:style w:type="paragraph" w:styleId="Heading9">
    <w:name w:val="heading 9"/>
    <w:basedOn w:val="Normal"/>
    <w:next w:val="Normal"/>
    <w:qFormat/>
    <w:pPr>
      <w:numPr>
        <w:ilvl w:val="8"/>
        <w:numId w:val="1"/>
      </w:numPr>
      <w:spacing w:before="240" w:after="60"/>
      <w:outlineLvl w:val="8"/>
    </w:pPr>
    <w:rPr>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CommentReference">
    <w:name w:val="annotation reference"/>
    <w:basedOn w:val="DefaultParagraphFont"/>
    <w:semiHidden/>
    <w:rPr>
      <w:noProof w:val="0"/>
      <w:sz w:val="16"/>
      <w:lang w:val="en-GB"/>
    </w:rPr>
  </w:style>
  <w:style w:type="paragraph" w:styleId="CommentText">
    <w:name w:val="annotation text"/>
    <w:semiHidden/>
    <w:rPr>
      <w:rFonts w:ascii="Arial" w:hAnsi="Arial"/>
      <w:sz w:val="16"/>
      <w:lang w:eastAsia="en-US"/>
    </w:rPr>
  </w:style>
  <w:style w:type="paragraph" w:styleId="Footer">
    <w:name w:val="footer"/>
    <w:pPr>
      <w:tabs>
        <w:tab w:val="center" w:pos="4320"/>
        <w:tab w:val="right" w:pos="8640"/>
      </w:tabs>
      <w:jc w:val="right"/>
    </w:pPr>
    <w:rPr>
      <w:rFonts w:ascii="Arial" w:hAnsi="Arial"/>
      <w:lang w:eastAsia="en-US"/>
    </w:rPr>
  </w:style>
  <w:style w:type="paragraph" w:styleId="Header">
    <w:name w:val="header"/>
    <w:pPr>
      <w:tabs>
        <w:tab w:val="center" w:pos="4320"/>
        <w:tab w:val="right" w:pos="8640"/>
      </w:tabs>
      <w:jc w:val="right"/>
    </w:pPr>
    <w:rPr>
      <w:rFonts w:ascii="Arial" w:hAnsi="Arial"/>
      <w:lang w:eastAsia="en-US"/>
    </w:rPr>
  </w:style>
  <w:style w:type="paragraph" w:styleId="NormalIndent">
    <w:name w:val="Normal Indent"/>
    <w:pPr>
      <w:ind w:left="1440" w:right="1106" w:hanging="720"/>
      <w:jc w:val="both"/>
    </w:pPr>
    <w:rPr>
      <w:lang w:eastAsia="en-US"/>
    </w:rPr>
  </w:style>
  <w:style w:type="paragraph" w:customStyle="1" w:styleId="Headerblock">
    <w:name w:val="Header block"/>
    <w:pPr>
      <w:ind w:left="2160" w:hanging="2160"/>
    </w:pPr>
    <w:rPr>
      <w:rFonts w:ascii="Arial" w:hAnsi="Arial"/>
      <w:sz w:val="24"/>
      <w:lang w:eastAsia="en-US"/>
    </w:rPr>
  </w:style>
  <w:style w:type="paragraph" w:styleId="Title">
    <w:name w:val="Title"/>
    <w:qFormat/>
    <w:pPr>
      <w:jc w:val="center"/>
    </w:pPr>
    <w:rPr>
      <w:rFonts w:ascii="Arial" w:hAnsi="Arial"/>
      <w:b/>
      <w:caps/>
      <w:sz w:val="28"/>
      <w:lang w:eastAsia="en-US"/>
    </w:rPr>
  </w:style>
  <w:style w:type="paragraph" w:customStyle="1" w:styleId="Lists">
    <w:name w:val="Lists"/>
    <w:basedOn w:val="Normal"/>
    <w:pPr>
      <w:ind w:left="1080" w:right="1106" w:hanging="360"/>
    </w:pPr>
  </w:style>
  <w:style w:type="paragraph" w:customStyle="1" w:styleId="Arrow">
    <w:name w:val="Arrow"/>
    <w:next w:val="ArrowIndent"/>
    <w:pPr>
      <w:ind w:left="720"/>
    </w:pPr>
    <w:rPr>
      <w:rFonts w:ascii="Arial" w:hAnsi="Arial"/>
      <w:sz w:val="22"/>
      <w:lang w:eastAsia="en-US"/>
    </w:rPr>
  </w:style>
  <w:style w:type="paragraph" w:customStyle="1" w:styleId="ArrowIndent">
    <w:name w:val="Arrow Indent"/>
    <w:pPr>
      <w:ind w:left="1440" w:right="1106"/>
      <w:jc w:val="both"/>
    </w:pPr>
    <w:rPr>
      <w:lang w:eastAsia="en-US"/>
    </w:rPr>
  </w:style>
  <w:style w:type="paragraph" w:customStyle="1" w:styleId="NBIndent">
    <w:name w:val="NB Indent"/>
    <w:pPr>
      <w:ind w:left="1440" w:right="1106" w:hanging="720"/>
      <w:jc w:val="both"/>
    </w:pPr>
    <w:rPr>
      <w:lang w:eastAsia="en-US"/>
    </w:rPr>
  </w:style>
  <w:style w:type="paragraph" w:styleId="Caption">
    <w:name w:val="caption"/>
    <w:basedOn w:val="Normal"/>
    <w:next w:val="Normal"/>
    <w:qFormat/>
    <w:pPr>
      <w:spacing w:before="120" w:after="120"/>
      <w:ind w:hanging="720"/>
      <w:jc w:val="center"/>
    </w:pPr>
    <w:rPr>
      <w:i/>
    </w:rPr>
  </w:style>
  <w:style w:type="character" w:styleId="LineNumber">
    <w:name w:val="line number"/>
    <w:basedOn w:val="DefaultParagraphFont"/>
  </w:style>
  <w:style w:type="paragraph" w:styleId="TOC1">
    <w:name w:val="toc 1"/>
    <w:basedOn w:val="Normal"/>
    <w:next w:val="Normal"/>
    <w:autoRedefine/>
    <w:uiPriority w:val="39"/>
  </w:style>
  <w:style w:type="paragraph" w:styleId="TOC2">
    <w:name w:val="toc 2"/>
    <w:basedOn w:val="Normal"/>
    <w:next w:val="Normal"/>
    <w:autoRedefine/>
    <w:uiPriority w:val="39"/>
    <w:pPr>
      <w:ind w:left="220"/>
    </w:pPr>
  </w:style>
  <w:style w:type="paragraph" w:styleId="TOC3">
    <w:name w:val="toc 3"/>
    <w:basedOn w:val="Normal"/>
    <w:next w:val="Normal"/>
    <w:autoRedefine/>
    <w:uiPriority w:val="39"/>
    <w:pPr>
      <w:ind w:left="440"/>
    </w:pPr>
  </w:style>
  <w:style w:type="paragraph" w:styleId="TOC4">
    <w:name w:val="toc 4"/>
    <w:basedOn w:val="Normal"/>
    <w:next w:val="Normal"/>
    <w:autoRedefine/>
    <w:semiHidden/>
    <w:pPr>
      <w:ind w:left="660"/>
    </w:pPr>
  </w:style>
  <w:style w:type="paragraph" w:styleId="TOC5">
    <w:name w:val="toc 5"/>
    <w:basedOn w:val="Normal"/>
    <w:next w:val="Normal"/>
    <w:autoRedefine/>
    <w:semiHidden/>
    <w:pPr>
      <w:ind w:left="880"/>
    </w:pPr>
  </w:style>
  <w:style w:type="paragraph" w:styleId="TOC6">
    <w:name w:val="toc 6"/>
    <w:basedOn w:val="Normal"/>
    <w:next w:val="Normal"/>
    <w:autoRedefine/>
    <w:semiHidden/>
    <w:pPr>
      <w:ind w:left="1100"/>
    </w:pPr>
  </w:style>
  <w:style w:type="paragraph" w:styleId="TOC7">
    <w:name w:val="toc 7"/>
    <w:basedOn w:val="Normal"/>
    <w:next w:val="Normal"/>
    <w:autoRedefine/>
    <w:semiHidden/>
    <w:pPr>
      <w:ind w:left="1320"/>
    </w:pPr>
  </w:style>
  <w:style w:type="paragraph" w:styleId="TOC8">
    <w:name w:val="toc 8"/>
    <w:basedOn w:val="Normal"/>
    <w:next w:val="Normal"/>
    <w:autoRedefine/>
    <w:semiHidden/>
    <w:pPr>
      <w:ind w:left="1540"/>
    </w:pPr>
  </w:style>
  <w:style w:type="paragraph" w:styleId="TOC9">
    <w:name w:val="toc 9"/>
    <w:basedOn w:val="Normal"/>
    <w:next w:val="Normal"/>
    <w:autoRedefine/>
    <w:semiHidden/>
    <w:pPr>
      <w:ind w:left="1760"/>
    </w:pPr>
  </w:style>
  <w:style w:type="table" w:styleId="TableGrid">
    <w:name w:val="Table Grid"/>
    <w:basedOn w:val="TableNormal"/>
    <w:uiPriority w:val="59"/>
    <w:rsid w:val="00C43FC3"/>
    <w:pPr>
      <w:ind w:left="7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341B24"/>
    <w:rPr>
      <w:rFonts w:ascii="Tahoma" w:hAnsi="Tahoma" w:cs="Tahoma"/>
      <w:sz w:val="16"/>
      <w:szCs w:val="16"/>
    </w:rPr>
  </w:style>
  <w:style w:type="paragraph" w:styleId="CommentSubject">
    <w:name w:val="annotation subject"/>
    <w:basedOn w:val="CommentText"/>
    <w:next w:val="CommentText"/>
    <w:semiHidden/>
    <w:rsid w:val="002A4F94"/>
    <w:pPr>
      <w:ind w:left="720"/>
      <w:jc w:val="both"/>
    </w:pPr>
    <w:rPr>
      <w:b/>
      <w:bCs/>
      <w:sz w:val="20"/>
    </w:rPr>
  </w:style>
  <w:style w:type="paragraph" w:styleId="ListParagraph">
    <w:name w:val="List Paragraph"/>
    <w:basedOn w:val="Normal"/>
    <w:uiPriority w:val="34"/>
    <w:qFormat/>
    <w:rsid w:val="00063746"/>
    <w:pPr>
      <w:contextualSpacing/>
    </w:pPr>
  </w:style>
  <w:style w:type="character" w:styleId="Hyperlink">
    <w:name w:val="Hyperlink"/>
    <w:basedOn w:val="DefaultParagraphFont"/>
    <w:uiPriority w:val="99"/>
    <w:unhideWhenUsed/>
    <w:rsid w:val="00AE08C3"/>
    <w:rPr>
      <w:color w:val="0000FF" w:themeColor="hyperlink"/>
      <w:u w:val="single"/>
    </w:rPr>
  </w:style>
  <w:style w:type="character" w:styleId="FollowedHyperlink">
    <w:name w:val="FollowedHyperlink"/>
    <w:basedOn w:val="DefaultParagraphFont"/>
    <w:uiPriority w:val="99"/>
    <w:semiHidden/>
    <w:unhideWhenUsed/>
    <w:rsid w:val="00885C98"/>
    <w:rPr>
      <w:color w:val="800080" w:themeColor="followedHyperlink"/>
      <w:u w:val="single"/>
    </w:rPr>
  </w:style>
  <w:style w:type="character" w:customStyle="1" w:styleId="style189">
    <w:name w:val="style189"/>
    <w:basedOn w:val="DefaultParagraphFont"/>
    <w:rsid w:val="00A425D2"/>
  </w:style>
  <w:style w:type="character" w:customStyle="1" w:styleId="apple-converted-space">
    <w:name w:val="apple-converted-space"/>
    <w:basedOn w:val="DefaultParagraphFont"/>
    <w:rsid w:val="00A425D2"/>
  </w:style>
  <w:style w:type="character" w:customStyle="1" w:styleId="style188">
    <w:name w:val="style188"/>
    <w:basedOn w:val="DefaultParagraphFont"/>
    <w:rsid w:val="00A425D2"/>
  </w:style>
  <w:style w:type="character" w:styleId="BookTitle">
    <w:name w:val="Book Title"/>
    <w:basedOn w:val="DefaultParagraphFont"/>
    <w:uiPriority w:val="33"/>
    <w:qFormat/>
    <w:rsid w:val="001A5C79"/>
    <w:rPr>
      <w:b/>
      <w:bCs/>
      <w:smallCaps/>
      <w:spacing w:val="5"/>
    </w:rPr>
  </w:style>
  <w:style w:type="table" w:styleId="LightShading-Accent1">
    <w:name w:val="Light Shading Accent 1"/>
    <w:basedOn w:val="TableNormal"/>
    <w:uiPriority w:val="60"/>
    <w:rsid w:val="001A5C79"/>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
    <w:name w:val="Light Shading"/>
    <w:basedOn w:val="TableNormal"/>
    <w:uiPriority w:val="60"/>
    <w:rsid w:val="001A5C79"/>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TableofFigures">
    <w:name w:val="table of figures"/>
    <w:basedOn w:val="Normal"/>
    <w:next w:val="Normal"/>
    <w:uiPriority w:val="99"/>
    <w:unhideWhenUsed/>
    <w:rsid w:val="007F3F8F"/>
  </w:style>
  <w:style w:type="character" w:customStyle="1" w:styleId="mw-headline">
    <w:name w:val="mw-headline"/>
    <w:basedOn w:val="DefaultParagraphFont"/>
    <w:rsid w:val="00D72A4B"/>
  </w:style>
  <w:style w:type="character" w:customStyle="1" w:styleId="mw-editsection">
    <w:name w:val="mw-editsection"/>
    <w:basedOn w:val="DefaultParagraphFont"/>
    <w:rsid w:val="00D72A4B"/>
  </w:style>
  <w:style w:type="paragraph" w:styleId="NormalWeb">
    <w:name w:val="Normal (Web)"/>
    <w:basedOn w:val="Normal"/>
    <w:uiPriority w:val="99"/>
    <w:semiHidden/>
    <w:unhideWhenUsed/>
    <w:rsid w:val="007F143E"/>
    <w:pPr>
      <w:spacing w:before="100" w:beforeAutospacing="1" w:after="100" w:afterAutospacing="1"/>
    </w:pPr>
    <w:rPr>
      <w:rFonts w:ascii="Times New Roman" w:eastAsia="Times New Roman" w:hAnsi="Times New Roman" w:cs="Times New Roman"/>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0369533">
      <w:bodyDiv w:val="1"/>
      <w:marLeft w:val="0"/>
      <w:marRight w:val="0"/>
      <w:marTop w:val="0"/>
      <w:marBottom w:val="0"/>
      <w:divBdr>
        <w:top w:val="none" w:sz="0" w:space="0" w:color="auto"/>
        <w:left w:val="none" w:sz="0" w:space="0" w:color="auto"/>
        <w:bottom w:val="none" w:sz="0" w:space="0" w:color="auto"/>
        <w:right w:val="none" w:sz="0" w:space="0" w:color="auto"/>
      </w:divBdr>
      <w:divsChild>
        <w:div w:id="925192164">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314840720">
      <w:bodyDiv w:val="1"/>
      <w:marLeft w:val="0"/>
      <w:marRight w:val="0"/>
      <w:marTop w:val="0"/>
      <w:marBottom w:val="0"/>
      <w:divBdr>
        <w:top w:val="none" w:sz="0" w:space="0" w:color="auto"/>
        <w:left w:val="none" w:sz="0" w:space="0" w:color="auto"/>
        <w:bottom w:val="none" w:sz="0" w:space="0" w:color="auto"/>
        <w:right w:val="none" w:sz="0" w:space="0" w:color="auto"/>
      </w:divBdr>
      <w:divsChild>
        <w:div w:id="1392847301">
          <w:marLeft w:val="0"/>
          <w:marRight w:val="0"/>
          <w:marTop w:val="0"/>
          <w:marBottom w:val="0"/>
          <w:divBdr>
            <w:top w:val="none" w:sz="0" w:space="0" w:color="auto"/>
            <w:left w:val="none" w:sz="0" w:space="0" w:color="auto"/>
            <w:bottom w:val="none" w:sz="0" w:space="0" w:color="auto"/>
            <w:right w:val="none" w:sz="0" w:space="0" w:color="auto"/>
          </w:divBdr>
        </w:div>
        <w:div w:id="16657518">
          <w:marLeft w:val="0"/>
          <w:marRight w:val="0"/>
          <w:marTop w:val="0"/>
          <w:marBottom w:val="0"/>
          <w:divBdr>
            <w:top w:val="none" w:sz="0" w:space="0" w:color="auto"/>
            <w:left w:val="none" w:sz="0" w:space="0" w:color="auto"/>
            <w:bottom w:val="none" w:sz="0" w:space="0" w:color="auto"/>
            <w:right w:val="none" w:sz="0" w:space="0" w:color="auto"/>
          </w:divBdr>
        </w:div>
        <w:div w:id="329606975">
          <w:marLeft w:val="0"/>
          <w:marRight w:val="0"/>
          <w:marTop w:val="0"/>
          <w:marBottom w:val="0"/>
          <w:divBdr>
            <w:top w:val="none" w:sz="0" w:space="0" w:color="auto"/>
            <w:left w:val="none" w:sz="0" w:space="0" w:color="auto"/>
            <w:bottom w:val="none" w:sz="0" w:space="0" w:color="auto"/>
            <w:right w:val="none" w:sz="0" w:space="0" w:color="auto"/>
          </w:divBdr>
        </w:div>
      </w:divsChild>
    </w:div>
    <w:div w:id="774255723">
      <w:bodyDiv w:val="1"/>
      <w:marLeft w:val="0"/>
      <w:marRight w:val="0"/>
      <w:marTop w:val="0"/>
      <w:marBottom w:val="0"/>
      <w:divBdr>
        <w:top w:val="none" w:sz="0" w:space="0" w:color="auto"/>
        <w:left w:val="none" w:sz="0" w:space="0" w:color="auto"/>
        <w:bottom w:val="none" w:sz="0" w:space="0" w:color="auto"/>
        <w:right w:val="none" w:sz="0" w:space="0" w:color="auto"/>
      </w:divBdr>
    </w:div>
    <w:div w:id="818113714">
      <w:bodyDiv w:val="1"/>
      <w:marLeft w:val="0"/>
      <w:marRight w:val="0"/>
      <w:marTop w:val="0"/>
      <w:marBottom w:val="0"/>
      <w:divBdr>
        <w:top w:val="none" w:sz="0" w:space="0" w:color="auto"/>
        <w:left w:val="none" w:sz="0" w:space="0" w:color="auto"/>
        <w:bottom w:val="none" w:sz="0" w:space="0" w:color="auto"/>
        <w:right w:val="none" w:sz="0" w:space="0" w:color="auto"/>
      </w:divBdr>
      <w:divsChild>
        <w:div w:id="835151349">
          <w:blockQuote w:val="1"/>
          <w:marLeft w:val="0"/>
          <w:marRight w:val="0"/>
          <w:marTop w:val="0"/>
          <w:marBottom w:val="0"/>
          <w:divBdr>
            <w:top w:val="none" w:sz="0" w:space="0" w:color="auto"/>
            <w:left w:val="none" w:sz="0" w:space="0" w:color="auto"/>
            <w:bottom w:val="none" w:sz="0" w:space="0" w:color="auto"/>
            <w:right w:val="none" w:sz="0" w:space="0" w:color="auto"/>
          </w:divBdr>
        </w:div>
        <w:div w:id="102264758">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992370890">
      <w:bodyDiv w:val="1"/>
      <w:marLeft w:val="0"/>
      <w:marRight w:val="0"/>
      <w:marTop w:val="0"/>
      <w:marBottom w:val="0"/>
      <w:divBdr>
        <w:top w:val="none" w:sz="0" w:space="0" w:color="auto"/>
        <w:left w:val="none" w:sz="0" w:space="0" w:color="auto"/>
        <w:bottom w:val="none" w:sz="0" w:space="0" w:color="auto"/>
        <w:right w:val="none" w:sz="0" w:space="0" w:color="auto"/>
      </w:divBdr>
      <w:divsChild>
        <w:div w:id="1102531127">
          <w:marLeft w:val="0"/>
          <w:marRight w:val="0"/>
          <w:marTop w:val="0"/>
          <w:marBottom w:val="0"/>
          <w:divBdr>
            <w:top w:val="none" w:sz="0" w:space="0" w:color="auto"/>
            <w:left w:val="none" w:sz="0" w:space="0" w:color="auto"/>
            <w:bottom w:val="none" w:sz="0" w:space="0" w:color="auto"/>
            <w:right w:val="none" w:sz="0" w:space="0" w:color="auto"/>
          </w:divBdr>
        </w:div>
        <w:div w:id="1016155282">
          <w:marLeft w:val="0"/>
          <w:marRight w:val="0"/>
          <w:marTop w:val="0"/>
          <w:marBottom w:val="0"/>
          <w:divBdr>
            <w:top w:val="none" w:sz="0" w:space="0" w:color="auto"/>
            <w:left w:val="none" w:sz="0" w:space="0" w:color="auto"/>
            <w:bottom w:val="none" w:sz="0" w:space="0" w:color="auto"/>
            <w:right w:val="none" w:sz="0" w:space="0" w:color="auto"/>
          </w:divBdr>
        </w:div>
        <w:div w:id="561253482">
          <w:marLeft w:val="0"/>
          <w:marRight w:val="0"/>
          <w:marTop w:val="0"/>
          <w:marBottom w:val="0"/>
          <w:divBdr>
            <w:top w:val="none" w:sz="0" w:space="0" w:color="auto"/>
            <w:left w:val="none" w:sz="0" w:space="0" w:color="auto"/>
            <w:bottom w:val="none" w:sz="0" w:space="0" w:color="auto"/>
            <w:right w:val="none" w:sz="0" w:space="0" w:color="auto"/>
          </w:divBdr>
        </w:div>
      </w:divsChild>
    </w:div>
    <w:div w:id="1154487318">
      <w:bodyDiv w:val="1"/>
      <w:marLeft w:val="0"/>
      <w:marRight w:val="0"/>
      <w:marTop w:val="0"/>
      <w:marBottom w:val="0"/>
      <w:divBdr>
        <w:top w:val="none" w:sz="0" w:space="0" w:color="auto"/>
        <w:left w:val="none" w:sz="0" w:space="0" w:color="auto"/>
        <w:bottom w:val="none" w:sz="0" w:space="0" w:color="auto"/>
        <w:right w:val="none" w:sz="0" w:space="0" w:color="auto"/>
      </w:divBdr>
    </w:div>
    <w:div w:id="1290354353">
      <w:bodyDiv w:val="1"/>
      <w:marLeft w:val="0"/>
      <w:marRight w:val="0"/>
      <w:marTop w:val="0"/>
      <w:marBottom w:val="0"/>
      <w:divBdr>
        <w:top w:val="none" w:sz="0" w:space="0" w:color="auto"/>
        <w:left w:val="none" w:sz="0" w:space="0" w:color="auto"/>
        <w:bottom w:val="none" w:sz="0" w:space="0" w:color="auto"/>
        <w:right w:val="none" w:sz="0" w:space="0" w:color="auto"/>
      </w:divBdr>
      <w:divsChild>
        <w:div w:id="110765086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 w:id="1357778557">
      <w:bodyDiv w:val="1"/>
      <w:marLeft w:val="0"/>
      <w:marRight w:val="0"/>
      <w:marTop w:val="0"/>
      <w:marBottom w:val="0"/>
      <w:divBdr>
        <w:top w:val="none" w:sz="0" w:space="0" w:color="auto"/>
        <w:left w:val="none" w:sz="0" w:space="0" w:color="auto"/>
        <w:bottom w:val="none" w:sz="0" w:space="0" w:color="auto"/>
        <w:right w:val="none" w:sz="0" w:space="0" w:color="auto"/>
      </w:divBdr>
    </w:div>
    <w:div w:id="1372420354">
      <w:bodyDiv w:val="1"/>
      <w:marLeft w:val="0"/>
      <w:marRight w:val="0"/>
      <w:marTop w:val="0"/>
      <w:marBottom w:val="0"/>
      <w:divBdr>
        <w:top w:val="none" w:sz="0" w:space="0" w:color="auto"/>
        <w:left w:val="none" w:sz="0" w:space="0" w:color="auto"/>
        <w:bottom w:val="none" w:sz="0" w:space="0" w:color="auto"/>
        <w:right w:val="none" w:sz="0" w:space="0" w:color="auto"/>
      </w:divBdr>
    </w:div>
    <w:div w:id="1738357635">
      <w:bodyDiv w:val="1"/>
      <w:marLeft w:val="0"/>
      <w:marRight w:val="0"/>
      <w:marTop w:val="0"/>
      <w:marBottom w:val="0"/>
      <w:divBdr>
        <w:top w:val="none" w:sz="0" w:space="0" w:color="auto"/>
        <w:left w:val="none" w:sz="0" w:space="0" w:color="auto"/>
        <w:bottom w:val="none" w:sz="0" w:space="0" w:color="auto"/>
        <w:right w:val="none" w:sz="0" w:space="0" w:color="auto"/>
      </w:divBdr>
      <w:divsChild>
        <w:div w:id="1161851184">
          <w:blockQuote w:val="1"/>
          <w:marLeft w:val="0"/>
          <w:marRight w:val="0"/>
          <w:marTop w:val="0"/>
          <w:marBottom w:val="0"/>
          <w:divBdr>
            <w:top w:val="none" w:sz="0" w:space="0" w:color="auto"/>
            <w:left w:val="none" w:sz="0" w:space="0" w:color="auto"/>
            <w:bottom w:val="none" w:sz="0" w:space="0" w:color="auto"/>
            <w:right w:val="none" w:sz="0" w:space="0" w:color="auto"/>
          </w:divBdr>
          <w:divsChild>
            <w:div w:id="916982753">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0541653">
      <w:bodyDiv w:val="1"/>
      <w:marLeft w:val="0"/>
      <w:marRight w:val="0"/>
      <w:marTop w:val="0"/>
      <w:marBottom w:val="0"/>
      <w:divBdr>
        <w:top w:val="none" w:sz="0" w:space="0" w:color="auto"/>
        <w:left w:val="none" w:sz="0" w:space="0" w:color="auto"/>
        <w:bottom w:val="none" w:sz="0" w:space="0" w:color="auto"/>
        <w:right w:val="none" w:sz="0" w:space="0" w:color="auto"/>
      </w:divBdr>
    </w:div>
    <w:div w:id="1877624165">
      <w:bodyDiv w:val="1"/>
      <w:marLeft w:val="0"/>
      <w:marRight w:val="0"/>
      <w:marTop w:val="0"/>
      <w:marBottom w:val="0"/>
      <w:divBdr>
        <w:top w:val="none" w:sz="0" w:space="0" w:color="auto"/>
        <w:left w:val="none" w:sz="0" w:space="0" w:color="auto"/>
        <w:bottom w:val="none" w:sz="0" w:space="0" w:color="auto"/>
        <w:right w:val="none" w:sz="0" w:space="0" w:color="auto"/>
      </w:divBdr>
    </w:div>
    <w:div w:id="1999571437">
      <w:bodyDiv w:val="1"/>
      <w:marLeft w:val="0"/>
      <w:marRight w:val="0"/>
      <w:marTop w:val="0"/>
      <w:marBottom w:val="0"/>
      <w:divBdr>
        <w:top w:val="none" w:sz="0" w:space="0" w:color="auto"/>
        <w:left w:val="none" w:sz="0" w:space="0" w:color="auto"/>
        <w:bottom w:val="none" w:sz="0" w:space="0" w:color="auto"/>
        <w:right w:val="none" w:sz="0" w:space="0" w:color="auto"/>
      </w:divBdr>
    </w:div>
    <w:div w:id="2106071760">
      <w:bodyDiv w:val="1"/>
      <w:marLeft w:val="0"/>
      <w:marRight w:val="0"/>
      <w:marTop w:val="0"/>
      <w:marBottom w:val="0"/>
      <w:divBdr>
        <w:top w:val="none" w:sz="0" w:space="0" w:color="auto"/>
        <w:left w:val="none" w:sz="0" w:space="0" w:color="auto"/>
        <w:bottom w:val="none" w:sz="0" w:space="0" w:color="auto"/>
        <w:right w:val="none" w:sz="0" w:space="0" w:color="auto"/>
      </w:divBdr>
      <w:divsChild>
        <w:div w:id="993337386">
          <w:blockQuote w:val="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26" Type="http://schemas.openxmlformats.org/officeDocument/2006/relationships/hyperlink" Target="http://en.wikipedia.org/wiki/Vein" TargetMode="External"/><Relationship Id="rId21" Type="http://schemas.openxmlformats.org/officeDocument/2006/relationships/hyperlink" Target="http://en.wikipedia.org/wiki/Insufflation_(medicine)" TargetMode="External"/><Relationship Id="rId42" Type="http://schemas.openxmlformats.org/officeDocument/2006/relationships/hyperlink" Target="http://en.wikipedia.org/wiki/Intrathecal" TargetMode="External"/><Relationship Id="rId47" Type="http://schemas.openxmlformats.org/officeDocument/2006/relationships/hyperlink" Target="http://en.wikipedia.org/wiki/Peritoneal_dialysis" TargetMode="External"/><Relationship Id="rId63" Type="http://schemas.openxmlformats.org/officeDocument/2006/relationships/hyperlink" Target="http://en.wikipedia.org/wiki/Angina_pectoris" TargetMode="External"/><Relationship Id="rId68" Type="http://schemas.openxmlformats.org/officeDocument/2006/relationships/hyperlink" Target="http://en.wikipedia.org/wiki/Sublabial_route_of_administration" TargetMode="Externa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en.wikipedia.org/wiki/Subcutaneous_administration" TargetMode="External"/><Relationship Id="rId29" Type="http://schemas.openxmlformats.org/officeDocument/2006/relationships/hyperlink" Target="http://en.wikipedia.org/wiki/Vasodilator" TargetMode="External"/><Relationship Id="rId11" Type="http://schemas.openxmlformats.org/officeDocument/2006/relationships/hyperlink" Target="http://en.wikipedia.org/wiki/Transdermal" TargetMode="External"/><Relationship Id="rId24" Type="http://schemas.openxmlformats.org/officeDocument/2006/relationships/hyperlink" Target="http://en.wikipedia.org/wiki/Inhalational_anesthetics" TargetMode="External"/><Relationship Id="rId32" Type="http://schemas.openxmlformats.org/officeDocument/2006/relationships/hyperlink" Target="http://en.wikipedia.org/wiki/Embolism" TargetMode="External"/><Relationship Id="rId37" Type="http://schemas.openxmlformats.org/officeDocument/2006/relationships/hyperlink" Target="http://en.wikipedia.org/wiki/Intracardiac" TargetMode="External"/><Relationship Id="rId40" Type="http://schemas.openxmlformats.org/officeDocument/2006/relationships/hyperlink" Target="http://en.wikipedia.org/wiki/Intraosseous_infusion" TargetMode="External"/><Relationship Id="rId45" Type="http://schemas.openxmlformats.org/officeDocument/2006/relationships/hyperlink" Target="http://en.wikipedia.org/wiki/Intraperitoneal_injection" TargetMode="External"/><Relationship Id="rId53" Type="http://schemas.openxmlformats.org/officeDocument/2006/relationships/hyperlink" Target="http://en.wikipedia.org/wiki/Vagina" TargetMode="External"/><Relationship Id="rId58" Type="http://schemas.openxmlformats.org/officeDocument/2006/relationships/hyperlink" Target="http://en.wikipedia.org/wiki/Transdermal_patch" TargetMode="External"/><Relationship Id="rId66" Type="http://schemas.openxmlformats.org/officeDocument/2006/relationships/hyperlink" Target="http://en.wikipedia.org/wiki/Cocaine" TargetMode="External"/><Relationship Id="rId5" Type="http://schemas.openxmlformats.org/officeDocument/2006/relationships/webSettings" Target="webSettings.xml"/><Relationship Id="rId61" Type="http://schemas.openxmlformats.org/officeDocument/2006/relationships/hyperlink" Target="http://en.wikipedia.org/wiki/Substance_use_disorder" TargetMode="External"/><Relationship Id="rId19" Type="http://schemas.openxmlformats.org/officeDocument/2006/relationships/hyperlink" Target="http://en.wikipedia.org/wiki/Recreational_drugs" TargetMode="External"/><Relationship Id="rId14" Type="http://schemas.openxmlformats.org/officeDocument/2006/relationships/hyperlink" Target="http://en.wikipedia.org/wiki/Allergens" TargetMode="External"/><Relationship Id="rId22" Type="http://schemas.openxmlformats.org/officeDocument/2006/relationships/hyperlink" Target="http://en.wikipedia.org/wiki/Decongestant" TargetMode="External"/><Relationship Id="rId27" Type="http://schemas.openxmlformats.org/officeDocument/2006/relationships/hyperlink" Target="http://en.wikipedia.org/wiki/Parenteral_nutrition" TargetMode="External"/><Relationship Id="rId30" Type="http://schemas.openxmlformats.org/officeDocument/2006/relationships/hyperlink" Target="http://en.wikipedia.org/wiki/Vasospasm" TargetMode="External"/><Relationship Id="rId35" Type="http://schemas.openxmlformats.org/officeDocument/2006/relationships/hyperlink" Target="http://en.wikipedia.org/wiki/Vaccine" TargetMode="External"/><Relationship Id="rId43" Type="http://schemas.openxmlformats.org/officeDocument/2006/relationships/hyperlink" Target="http://en.wikipedia.org/wiki/Anesthesia" TargetMode="External"/><Relationship Id="rId48" Type="http://schemas.openxmlformats.org/officeDocument/2006/relationships/hyperlink" Target="http://en.wikipedia.org/wiki/Urinary_bladder" TargetMode="External"/><Relationship Id="rId56" Type="http://schemas.openxmlformats.org/officeDocument/2006/relationships/hyperlink" Target="http://en.wikipedia.org/wiki/Fetal_membranes" TargetMode="External"/><Relationship Id="rId64" Type="http://schemas.openxmlformats.org/officeDocument/2006/relationships/hyperlink" Target="http://en.wikipedia.org/wiki/Transmucosal" TargetMode="External"/><Relationship Id="rId69" Type="http://schemas.openxmlformats.org/officeDocument/2006/relationships/hyperlink" Target="http://en.wikipedia.org/wiki/Gingiva" TargetMode="External"/><Relationship Id="rId8" Type="http://schemas.openxmlformats.org/officeDocument/2006/relationships/hyperlink" Target="http://reference.medscape.com/article/80431-overview" TargetMode="External"/><Relationship Id="rId51" Type="http://schemas.openxmlformats.org/officeDocument/2006/relationships/hyperlink" Target="http://en.wikipedia.org/wiki/Penis" TargetMode="External"/><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hyperlink" Target="http://en.wikipedia.org/wiki/Intradermal" TargetMode="External"/><Relationship Id="rId17" Type="http://schemas.openxmlformats.org/officeDocument/2006/relationships/hyperlink" Target="http://en.wikipedia.org/wiki/Insulin" TargetMode="External"/><Relationship Id="rId25" Type="http://schemas.openxmlformats.org/officeDocument/2006/relationships/hyperlink" Target="http://en.wikipedia.org/wiki/Intravenous_therapy" TargetMode="External"/><Relationship Id="rId33" Type="http://schemas.openxmlformats.org/officeDocument/2006/relationships/hyperlink" Target="http://en.wikipedia.org/wiki/Intramuscular_injection" TargetMode="External"/><Relationship Id="rId38" Type="http://schemas.openxmlformats.org/officeDocument/2006/relationships/hyperlink" Target="http://en.wikipedia.org/wiki/Adrenaline" TargetMode="External"/><Relationship Id="rId46" Type="http://schemas.openxmlformats.org/officeDocument/2006/relationships/hyperlink" Target="http://en.wikipedia.org/wiki/Peritoneum" TargetMode="External"/><Relationship Id="rId59" Type="http://schemas.openxmlformats.org/officeDocument/2006/relationships/hyperlink" Target="http://en.wikipedia.org/wiki/Fentanyl" TargetMode="External"/><Relationship Id="rId67" Type="http://schemas.openxmlformats.org/officeDocument/2006/relationships/hyperlink" Target="http://en.wikipedia.org/wiki/Sublingual" TargetMode="External"/><Relationship Id="rId20" Type="http://schemas.openxmlformats.org/officeDocument/2006/relationships/hyperlink" Target="http://en.wikipedia.org/wiki/Human_nose" TargetMode="External"/><Relationship Id="rId41" Type="http://schemas.openxmlformats.org/officeDocument/2006/relationships/hyperlink" Target="http://en.wikipedia.org/wiki/Bone" TargetMode="External"/><Relationship Id="rId54" Type="http://schemas.openxmlformats.org/officeDocument/2006/relationships/hyperlink" Target="http://en.wikipedia.org/wiki/Extra-amniotic_administration" TargetMode="External"/><Relationship Id="rId62" Type="http://schemas.openxmlformats.org/officeDocument/2006/relationships/hyperlink" Target="http://en.wikipedia.org/wiki/Glyceryl_trinitrate_(pharmacology)" TargetMode="External"/><Relationship Id="rId70" Type="http://schemas.openxmlformats.org/officeDocument/2006/relationships/hyperlink" Target="http://en.wikipedia.org/wiki/Nitroglycerine" TargetMode="Externa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en.wikipedia.org/wiki/Mantoux_test" TargetMode="External"/><Relationship Id="rId23" Type="http://schemas.openxmlformats.org/officeDocument/2006/relationships/hyperlink" Target="http://en.wikipedia.org/wiki/Respiratory_tract" TargetMode="External"/><Relationship Id="rId28" Type="http://schemas.openxmlformats.org/officeDocument/2006/relationships/hyperlink" Target="http://en.wikipedia.org/wiki/Artery" TargetMode="External"/><Relationship Id="rId36" Type="http://schemas.openxmlformats.org/officeDocument/2006/relationships/hyperlink" Target="http://en.wikipedia.org/wiki/Route_of_administration" TargetMode="External"/><Relationship Id="rId49" Type="http://schemas.openxmlformats.org/officeDocument/2006/relationships/hyperlink" Target="http://en.wikipedia.org/wiki/Intravitreal" TargetMode="External"/><Relationship Id="rId57" Type="http://schemas.openxmlformats.org/officeDocument/2006/relationships/hyperlink" Target="http://en.wikipedia.org/wiki/Transdermal_technology" TargetMode="External"/><Relationship Id="rId10" Type="http://schemas.openxmlformats.org/officeDocument/2006/relationships/hyperlink" Target="http://en.wiktionary.org/wiki/systemic" TargetMode="External"/><Relationship Id="rId31" Type="http://schemas.openxmlformats.org/officeDocument/2006/relationships/hyperlink" Target="http://en.wikipedia.org/wiki/Thrombolytic_drug" TargetMode="External"/><Relationship Id="rId44" Type="http://schemas.openxmlformats.org/officeDocument/2006/relationships/hyperlink" Target="http://en.wikipedia.org/wiki/Chemotherapy" TargetMode="External"/><Relationship Id="rId52" Type="http://schemas.openxmlformats.org/officeDocument/2006/relationships/hyperlink" Target="http://en.wikipedia.org/wiki/Intravaginal_administration" TargetMode="External"/><Relationship Id="rId60" Type="http://schemas.openxmlformats.org/officeDocument/2006/relationships/hyperlink" Target="http://en.wikipedia.org/wiki/Nicotine" TargetMode="External"/><Relationship Id="rId65" Type="http://schemas.openxmlformats.org/officeDocument/2006/relationships/hyperlink" Target="http://en.wikipedia.org/wiki/Insufflation_(medicine)" TargetMode="External"/><Relationship Id="rId4" Type="http://schemas.openxmlformats.org/officeDocument/2006/relationships/settings" Target="settings.xml"/><Relationship Id="rId9" Type="http://schemas.openxmlformats.org/officeDocument/2006/relationships/hyperlink" Target="http://en.wikipedia.org/wiki/Local_anesthesia" TargetMode="External"/><Relationship Id="rId13" Type="http://schemas.openxmlformats.org/officeDocument/2006/relationships/hyperlink" Target="http://en.wikipedia.org/w/index.php?title=Skin_testing&amp;action=edit&amp;redlink=1" TargetMode="External"/><Relationship Id="rId18" Type="http://schemas.openxmlformats.org/officeDocument/2006/relationships/hyperlink" Target="http://en.wikipedia.org/wiki/Skin_popping" TargetMode="External"/><Relationship Id="rId39" Type="http://schemas.openxmlformats.org/officeDocument/2006/relationships/hyperlink" Target="http://en.wikipedia.org/wiki/Cardiopulmonary_resuscitation" TargetMode="External"/><Relationship Id="rId34" Type="http://schemas.openxmlformats.org/officeDocument/2006/relationships/hyperlink" Target="http://en.wikipedia.org/wiki/Muscle" TargetMode="External"/><Relationship Id="rId50" Type="http://schemas.openxmlformats.org/officeDocument/2006/relationships/hyperlink" Target="http://en.wikipedia.org/wiki/Intracavernous_injection" TargetMode="External"/><Relationship Id="rId55" Type="http://schemas.openxmlformats.org/officeDocument/2006/relationships/hyperlink" Target="http://en.wikipedia.org/wiki/Endometriu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EC48955-8449-4052-AB80-3AEA2AAD66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15</Pages>
  <Words>4310</Words>
  <Characters>24571</Characters>
  <Application>Microsoft Office Word</Application>
  <DocSecurity>0</DocSecurity>
  <Lines>204</Lines>
  <Paragraphs>57</Paragraphs>
  <ScaleCrop>false</ScaleCrop>
  <HeadingPairs>
    <vt:vector size="2" baseType="variant">
      <vt:variant>
        <vt:lpstr>Title</vt:lpstr>
      </vt:variant>
      <vt:variant>
        <vt:i4>1</vt:i4>
      </vt:variant>
    </vt:vector>
  </HeadingPairs>
  <TitlesOfParts>
    <vt:vector size="1" baseType="lpstr">
      <vt:lpstr>DOAS Preop Assessment Data Set</vt:lpstr>
    </vt:vector>
  </TitlesOfParts>
  <Company/>
  <LinksUpToDate>false</LinksUpToDate>
  <CharactersWithSpaces>28824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DOAS Preop Assessment Data Set</dc:title>
  <dc:subject>Synopsis</dc:subject>
  <dc:creator>M Rooney</dc:creator>
  <cp:lastModifiedBy>Hurrell, Martin</cp:lastModifiedBy>
  <cp:revision>2</cp:revision>
  <cp:lastPrinted>2012-09-24T09:26:00Z</cp:lastPrinted>
  <dcterms:created xsi:type="dcterms:W3CDTF">2014-10-15T10:41:00Z</dcterms:created>
  <dcterms:modified xsi:type="dcterms:W3CDTF">2014-10-15T10:41:00Z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-2076384768</vt:i4>
  </property>
  <property fmtid="{D5CDD505-2E9C-101B-9397-08002B2CF9AE}" pid="3" name="_EmailSubject">
    <vt:lpwstr>Update</vt:lpwstr>
  </property>
  <property fmtid="{D5CDD505-2E9C-101B-9397-08002B2CF9AE}" pid="4" name="_AuthorEmail">
    <vt:lpwstr>martin.rooney@informatics.co.uk</vt:lpwstr>
  </property>
  <property fmtid="{D5CDD505-2E9C-101B-9397-08002B2CF9AE}" pid="5" name="_AuthorEmailDisplayName">
    <vt:lpwstr>Martin Rooney</vt:lpwstr>
  </property>
  <property fmtid="{D5CDD505-2E9C-101B-9397-08002B2CF9AE}" pid="6" name="_ReviewingToolsShownOnce">
    <vt:lpwstr/>
  </property>
</Properties>
</file>